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27E72F" w14:textId="77777777" w:rsidR="00CF49B9" w:rsidRDefault="00CF49B9" w:rsidP="00F4632A">
      <w:pPr>
        <w:pStyle w:val="Sinespaciado"/>
      </w:pPr>
      <w:bookmarkStart w:id="0" w:name="_Toc63251814"/>
    </w:p>
    <w:p w14:paraId="00BEDD71" w14:textId="21F7BD5A" w:rsidR="00CF49B9" w:rsidRPr="00A83EC4" w:rsidRDefault="00CF49B9" w:rsidP="00CF49B9">
      <w:pPr>
        <w:pStyle w:val="Ttulo2"/>
        <w:rPr>
          <w:i w:val="0"/>
        </w:rPr>
      </w:pPr>
      <w:r w:rsidRPr="00A83EC4">
        <w:rPr>
          <w:i w:val="0"/>
        </w:rPr>
        <w:t>ANEXO 5. FORMATO DE ASPECTOS RELEVANTES DE LA EVALUACIÓN (FARE)</w:t>
      </w:r>
      <w:bookmarkEnd w:id="0"/>
    </w:p>
    <w:p w14:paraId="3541EE86" w14:textId="77777777" w:rsidR="00CF49B9" w:rsidRDefault="00CF49B9" w:rsidP="00CF49B9">
      <w:pPr>
        <w:spacing w:after="0" w:line="240" w:lineRule="auto"/>
        <w:rPr>
          <w:rFonts w:ascii="Cambria" w:eastAsia="Cambria" w:hAnsi="Cambria" w:cs="Cambria"/>
          <w:b/>
          <w:i/>
        </w:rPr>
      </w:pPr>
    </w:p>
    <w:tbl>
      <w:tblPr>
        <w:tblStyle w:val="1"/>
        <w:tblW w:w="8941" w:type="dxa"/>
        <w:jc w:val="center"/>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00" w:firstRow="0" w:lastRow="0" w:firstColumn="0" w:lastColumn="0" w:noHBand="0" w:noVBand="1"/>
      </w:tblPr>
      <w:tblGrid>
        <w:gridCol w:w="1129"/>
        <w:gridCol w:w="1276"/>
        <w:gridCol w:w="2126"/>
        <w:gridCol w:w="1701"/>
        <w:gridCol w:w="443"/>
        <w:gridCol w:w="463"/>
        <w:gridCol w:w="1803"/>
      </w:tblGrid>
      <w:tr w:rsidR="00CF49B9" w14:paraId="5A631188" w14:textId="77777777" w:rsidTr="001422F7">
        <w:trPr>
          <w:trHeight w:val="583"/>
          <w:jc w:val="center"/>
        </w:trPr>
        <w:tc>
          <w:tcPr>
            <w:tcW w:w="2405" w:type="dxa"/>
            <w:gridSpan w:val="2"/>
            <w:shd w:val="clear" w:color="auto" w:fill="AEAAAA"/>
            <w:vAlign w:val="center"/>
          </w:tcPr>
          <w:p w14:paraId="3D68668B"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i/>
                <w:color w:val="FFFFFF"/>
                <w:sz w:val="16"/>
                <w:szCs w:val="16"/>
              </w:rPr>
            </w:pPr>
            <w:r>
              <w:rPr>
                <w:rFonts w:ascii="Cambria" w:eastAsia="Cambria" w:hAnsi="Cambria" w:cs="Cambria"/>
                <w:b/>
                <w:color w:val="FFFFFF"/>
                <w:sz w:val="16"/>
                <w:szCs w:val="16"/>
              </w:rPr>
              <w:t>Nombre de la evaluación:</w:t>
            </w:r>
          </w:p>
        </w:tc>
        <w:tc>
          <w:tcPr>
            <w:tcW w:w="6536" w:type="dxa"/>
            <w:gridSpan w:val="5"/>
            <w:shd w:val="clear" w:color="auto" w:fill="AEAAAA"/>
            <w:vAlign w:val="center"/>
          </w:tcPr>
          <w:p w14:paraId="6932BBFF" w14:textId="39CB9334" w:rsidR="00CF49B9" w:rsidRDefault="00974A9B" w:rsidP="001422F7">
            <w:pPr>
              <w:pBdr>
                <w:top w:val="nil"/>
                <w:left w:val="nil"/>
                <w:bottom w:val="nil"/>
                <w:right w:val="nil"/>
                <w:between w:val="nil"/>
              </w:pBdr>
              <w:spacing w:before="20" w:after="0" w:line="240" w:lineRule="auto"/>
              <w:rPr>
                <w:rFonts w:ascii="Cambria" w:eastAsia="Cambria" w:hAnsi="Cambria" w:cs="Cambria"/>
                <w:color w:val="FFFFFF"/>
                <w:sz w:val="16"/>
                <w:szCs w:val="16"/>
              </w:rPr>
            </w:pPr>
            <w:r>
              <w:rPr>
                <w:rFonts w:ascii="Cambria" w:eastAsia="Cambria" w:hAnsi="Cambria" w:cs="Cambria"/>
                <w:color w:val="FFFFFF"/>
                <w:sz w:val="16"/>
                <w:szCs w:val="16"/>
              </w:rPr>
              <w:t>Evaluación de procesos del programa Pensión para el Bienestar de las Personas con Discapacidad Permanente</w:t>
            </w:r>
          </w:p>
        </w:tc>
      </w:tr>
      <w:tr w:rsidR="00CF49B9" w14:paraId="561909D9" w14:textId="77777777" w:rsidTr="001422F7">
        <w:trPr>
          <w:trHeight w:val="583"/>
          <w:jc w:val="center"/>
        </w:trPr>
        <w:tc>
          <w:tcPr>
            <w:tcW w:w="2405" w:type="dxa"/>
            <w:gridSpan w:val="2"/>
            <w:shd w:val="clear" w:color="auto" w:fill="auto"/>
            <w:vAlign w:val="center"/>
          </w:tcPr>
          <w:p w14:paraId="25A47DD4"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Objetivo de la evaluación:</w:t>
            </w:r>
          </w:p>
        </w:tc>
        <w:tc>
          <w:tcPr>
            <w:tcW w:w="6536" w:type="dxa"/>
            <w:gridSpan w:val="5"/>
            <w:shd w:val="clear" w:color="auto" w:fill="auto"/>
            <w:vAlign w:val="center"/>
          </w:tcPr>
          <w:p w14:paraId="327BE550" w14:textId="69F41B8A" w:rsidR="00CF49B9" w:rsidRDefault="00F4632A" w:rsidP="001422F7">
            <w:pPr>
              <w:pBdr>
                <w:top w:val="nil"/>
                <w:left w:val="nil"/>
                <w:bottom w:val="nil"/>
                <w:right w:val="nil"/>
                <w:between w:val="nil"/>
              </w:pBdr>
              <w:spacing w:before="20" w:after="0" w:line="240" w:lineRule="auto"/>
              <w:rPr>
                <w:rFonts w:ascii="Cambria" w:eastAsia="Cambria" w:hAnsi="Cambria" w:cs="Cambria"/>
                <w:color w:val="000000"/>
                <w:sz w:val="16"/>
                <w:szCs w:val="16"/>
              </w:rPr>
            </w:pPr>
            <w:r w:rsidRPr="00F4632A">
              <w:rPr>
                <w:rFonts w:ascii="Cambria" w:eastAsia="Cambria" w:hAnsi="Cambria" w:cs="Cambria"/>
                <w:color w:val="000000"/>
                <w:sz w:val="16"/>
                <w:szCs w:val="16"/>
              </w:rPr>
              <w:t>Realizar un análisis sistemático de la gestión operativa del programa Pensión para el Bienestar de las Personas con Discapacidad Permanente, que permita valorar si dicha gestión cumple con lo necesario para el logro de las metas y objetivos del Programa. Así como, hacer recomendaciones que permitan la instrumentación de mejoras.</w:t>
            </w:r>
          </w:p>
        </w:tc>
      </w:tr>
      <w:tr w:rsidR="00CF49B9" w14:paraId="54BAB56D" w14:textId="77777777" w:rsidTr="001422F7">
        <w:trPr>
          <w:trHeight w:val="583"/>
          <w:jc w:val="center"/>
        </w:trPr>
        <w:tc>
          <w:tcPr>
            <w:tcW w:w="2405" w:type="dxa"/>
            <w:gridSpan w:val="2"/>
            <w:shd w:val="clear" w:color="auto" w:fill="D9D9D9"/>
            <w:vAlign w:val="center"/>
          </w:tcPr>
          <w:p w14:paraId="199BB73B"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 xml:space="preserve">Tipo de evaluación: </w:t>
            </w:r>
          </w:p>
        </w:tc>
        <w:tc>
          <w:tcPr>
            <w:tcW w:w="3827" w:type="dxa"/>
            <w:gridSpan w:val="2"/>
            <w:shd w:val="clear" w:color="auto" w:fill="D9D9D9"/>
            <w:vAlign w:val="center"/>
          </w:tcPr>
          <w:p w14:paraId="05D10D68" w14:textId="4EAEDB0C" w:rsidR="00CF49B9" w:rsidRDefault="00974A9B" w:rsidP="001422F7">
            <w:pPr>
              <w:pBdr>
                <w:top w:val="nil"/>
                <w:left w:val="nil"/>
                <w:bottom w:val="nil"/>
                <w:right w:val="nil"/>
                <w:between w:val="nil"/>
              </w:pBdr>
              <w:spacing w:before="20" w:after="0" w:line="240" w:lineRule="auto"/>
              <w:rPr>
                <w:rFonts w:ascii="Cambria" w:eastAsia="Cambria" w:hAnsi="Cambria" w:cs="Cambria"/>
                <w:color w:val="000000"/>
                <w:sz w:val="16"/>
                <w:szCs w:val="16"/>
              </w:rPr>
            </w:pPr>
            <w:r>
              <w:rPr>
                <w:rFonts w:ascii="Cambria" w:eastAsia="Cambria" w:hAnsi="Cambria" w:cs="Cambria"/>
                <w:color w:val="000000"/>
                <w:sz w:val="16"/>
                <w:szCs w:val="16"/>
              </w:rPr>
              <w:t>Evaluación de Procesos</w:t>
            </w:r>
          </w:p>
        </w:tc>
        <w:tc>
          <w:tcPr>
            <w:tcW w:w="906" w:type="dxa"/>
            <w:gridSpan w:val="2"/>
            <w:shd w:val="clear" w:color="auto" w:fill="D9D9D9"/>
            <w:vAlign w:val="center"/>
          </w:tcPr>
          <w:p w14:paraId="3FFC0062"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 xml:space="preserve">PAE: </w:t>
            </w:r>
          </w:p>
        </w:tc>
        <w:tc>
          <w:tcPr>
            <w:tcW w:w="1803" w:type="dxa"/>
            <w:shd w:val="clear" w:color="auto" w:fill="D9D9D9"/>
            <w:vAlign w:val="center"/>
          </w:tcPr>
          <w:p w14:paraId="41A792E2" w14:textId="2E475AC4" w:rsidR="00CF49B9" w:rsidRDefault="00974A9B" w:rsidP="001422F7">
            <w:pPr>
              <w:pBdr>
                <w:top w:val="nil"/>
                <w:left w:val="nil"/>
                <w:bottom w:val="nil"/>
                <w:right w:val="nil"/>
                <w:between w:val="nil"/>
              </w:pBdr>
              <w:spacing w:before="20" w:after="0" w:line="240" w:lineRule="auto"/>
              <w:rPr>
                <w:rFonts w:ascii="Cambria" w:eastAsia="Cambria" w:hAnsi="Cambria" w:cs="Cambria"/>
                <w:color w:val="000000"/>
                <w:sz w:val="16"/>
                <w:szCs w:val="16"/>
              </w:rPr>
            </w:pPr>
            <w:r>
              <w:rPr>
                <w:rFonts w:ascii="Cambria" w:eastAsia="Cambria" w:hAnsi="Cambria" w:cs="Cambria"/>
                <w:color w:val="000000"/>
                <w:sz w:val="16"/>
                <w:szCs w:val="16"/>
              </w:rPr>
              <w:t>2022</w:t>
            </w:r>
          </w:p>
        </w:tc>
      </w:tr>
      <w:tr w:rsidR="00CF49B9" w14:paraId="6431FB71" w14:textId="77777777" w:rsidTr="001422F7">
        <w:trPr>
          <w:trHeight w:val="583"/>
          <w:jc w:val="center"/>
        </w:trPr>
        <w:tc>
          <w:tcPr>
            <w:tcW w:w="1129" w:type="dxa"/>
            <w:shd w:val="clear" w:color="auto" w:fill="auto"/>
            <w:vAlign w:val="center"/>
          </w:tcPr>
          <w:p w14:paraId="19CF01D3" w14:textId="77777777" w:rsidR="00CF49B9" w:rsidRDefault="00CF49B9" w:rsidP="001422F7">
            <w:pPr>
              <w:pBdr>
                <w:top w:val="nil"/>
                <w:left w:val="nil"/>
                <w:bottom w:val="nil"/>
                <w:right w:val="nil"/>
                <w:between w:val="nil"/>
              </w:pBdr>
              <w:spacing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Ramo:</w:t>
            </w:r>
          </w:p>
        </w:tc>
        <w:tc>
          <w:tcPr>
            <w:tcW w:w="7812" w:type="dxa"/>
            <w:gridSpan w:val="6"/>
            <w:shd w:val="clear" w:color="auto" w:fill="auto"/>
            <w:vAlign w:val="center"/>
          </w:tcPr>
          <w:p w14:paraId="3585AC5B" w14:textId="2023E4E7" w:rsidR="00CF49B9" w:rsidRDefault="00974A9B" w:rsidP="001422F7">
            <w:pPr>
              <w:pBdr>
                <w:top w:val="nil"/>
                <w:left w:val="nil"/>
                <w:bottom w:val="nil"/>
                <w:right w:val="nil"/>
                <w:between w:val="nil"/>
              </w:pBdr>
              <w:spacing w:before="120" w:after="120" w:line="240" w:lineRule="auto"/>
              <w:rPr>
                <w:rFonts w:ascii="Cambria" w:eastAsia="Cambria" w:hAnsi="Cambria" w:cs="Cambria"/>
                <w:color w:val="000000"/>
                <w:sz w:val="16"/>
                <w:szCs w:val="16"/>
              </w:rPr>
            </w:pPr>
            <w:r>
              <w:rPr>
                <w:rFonts w:ascii="Cambria" w:eastAsia="Cambria" w:hAnsi="Cambria" w:cs="Cambria"/>
                <w:color w:val="000000"/>
                <w:sz w:val="16"/>
                <w:szCs w:val="16"/>
              </w:rPr>
              <w:t xml:space="preserve">20 </w:t>
            </w:r>
            <w:proofErr w:type="gramStart"/>
            <w:r>
              <w:rPr>
                <w:rFonts w:ascii="Cambria" w:eastAsia="Cambria" w:hAnsi="Cambria" w:cs="Cambria"/>
                <w:color w:val="000000"/>
                <w:sz w:val="16"/>
                <w:szCs w:val="16"/>
              </w:rPr>
              <w:t>Bienestar</w:t>
            </w:r>
            <w:proofErr w:type="gramEnd"/>
          </w:p>
        </w:tc>
      </w:tr>
      <w:tr w:rsidR="00CF49B9" w14:paraId="027B0C2A" w14:textId="77777777" w:rsidTr="001422F7">
        <w:trPr>
          <w:trHeight w:val="583"/>
          <w:jc w:val="center"/>
        </w:trPr>
        <w:tc>
          <w:tcPr>
            <w:tcW w:w="1129" w:type="dxa"/>
            <w:shd w:val="clear" w:color="auto" w:fill="E7E6E6"/>
            <w:vAlign w:val="center"/>
          </w:tcPr>
          <w:p w14:paraId="6C881CD4"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 xml:space="preserve">Modalidad y Clave </w:t>
            </w:r>
            <w:proofErr w:type="spellStart"/>
            <w:r>
              <w:rPr>
                <w:rFonts w:ascii="Cambria" w:eastAsia="Cambria" w:hAnsi="Cambria" w:cs="Cambria"/>
                <w:b/>
                <w:color w:val="000000"/>
                <w:sz w:val="16"/>
                <w:szCs w:val="16"/>
              </w:rPr>
              <w:t>Pp</w:t>
            </w:r>
            <w:proofErr w:type="spellEnd"/>
            <w:r>
              <w:rPr>
                <w:rFonts w:ascii="Cambria" w:eastAsia="Cambria" w:hAnsi="Cambria" w:cs="Cambria"/>
                <w:b/>
                <w:color w:val="000000"/>
                <w:sz w:val="16"/>
                <w:szCs w:val="16"/>
              </w:rPr>
              <w:t>:</w:t>
            </w:r>
          </w:p>
        </w:tc>
        <w:tc>
          <w:tcPr>
            <w:tcW w:w="1276" w:type="dxa"/>
            <w:shd w:val="clear" w:color="auto" w:fill="E7E6E6"/>
            <w:vAlign w:val="center"/>
          </w:tcPr>
          <w:p w14:paraId="3CC6D7BE" w14:textId="1FC05A50" w:rsidR="00CF49B9" w:rsidRDefault="00974A9B" w:rsidP="001422F7">
            <w:pPr>
              <w:pBdr>
                <w:top w:val="nil"/>
                <w:left w:val="nil"/>
                <w:bottom w:val="nil"/>
                <w:right w:val="nil"/>
                <w:between w:val="nil"/>
              </w:pBdr>
              <w:spacing w:before="20" w:after="0" w:line="240" w:lineRule="auto"/>
              <w:rPr>
                <w:rFonts w:ascii="Cambria" w:eastAsia="Cambria" w:hAnsi="Cambria" w:cs="Cambria"/>
                <w:color w:val="000000"/>
                <w:sz w:val="16"/>
                <w:szCs w:val="16"/>
              </w:rPr>
            </w:pPr>
            <w:r>
              <w:rPr>
                <w:rFonts w:ascii="Cambria" w:eastAsia="Cambria" w:hAnsi="Cambria" w:cs="Cambria"/>
                <w:color w:val="000000"/>
                <w:sz w:val="16"/>
                <w:szCs w:val="16"/>
              </w:rPr>
              <w:t>S286</w:t>
            </w:r>
          </w:p>
        </w:tc>
        <w:tc>
          <w:tcPr>
            <w:tcW w:w="2126" w:type="dxa"/>
            <w:shd w:val="clear" w:color="auto" w:fill="E7E6E6"/>
            <w:vAlign w:val="center"/>
          </w:tcPr>
          <w:p w14:paraId="334F6F10"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 xml:space="preserve">Denominación </w:t>
            </w:r>
            <w:proofErr w:type="spellStart"/>
            <w:r>
              <w:rPr>
                <w:rFonts w:ascii="Cambria" w:eastAsia="Cambria" w:hAnsi="Cambria" w:cs="Cambria"/>
                <w:b/>
                <w:color w:val="000000"/>
                <w:sz w:val="16"/>
                <w:szCs w:val="16"/>
              </w:rPr>
              <w:t>Pp</w:t>
            </w:r>
            <w:proofErr w:type="spellEnd"/>
            <w:r>
              <w:rPr>
                <w:rFonts w:ascii="Cambria" w:eastAsia="Cambria" w:hAnsi="Cambria" w:cs="Cambria"/>
                <w:b/>
                <w:color w:val="000000"/>
                <w:sz w:val="16"/>
                <w:szCs w:val="16"/>
              </w:rPr>
              <w:t>:</w:t>
            </w:r>
          </w:p>
        </w:tc>
        <w:tc>
          <w:tcPr>
            <w:tcW w:w="4410" w:type="dxa"/>
            <w:gridSpan w:val="4"/>
            <w:shd w:val="clear" w:color="auto" w:fill="E7E6E6"/>
            <w:vAlign w:val="center"/>
          </w:tcPr>
          <w:p w14:paraId="709796A4" w14:textId="529D8D3C" w:rsidR="00CF49B9" w:rsidRDefault="00974A9B" w:rsidP="001422F7">
            <w:pPr>
              <w:pBdr>
                <w:top w:val="nil"/>
                <w:left w:val="nil"/>
                <w:bottom w:val="nil"/>
                <w:right w:val="nil"/>
                <w:between w:val="nil"/>
              </w:pBdr>
              <w:spacing w:before="20" w:after="0" w:line="240" w:lineRule="auto"/>
              <w:rPr>
                <w:rFonts w:ascii="Cambria" w:eastAsia="Cambria" w:hAnsi="Cambria" w:cs="Cambria"/>
                <w:i/>
                <w:color w:val="000000"/>
                <w:sz w:val="16"/>
                <w:szCs w:val="16"/>
              </w:rPr>
            </w:pPr>
            <w:r w:rsidRPr="00974A9B">
              <w:rPr>
                <w:rFonts w:ascii="Cambria" w:eastAsia="Cambria" w:hAnsi="Cambria" w:cs="Cambria"/>
                <w:color w:val="000000"/>
                <w:sz w:val="16"/>
                <w:szCs w:val="16"/>
              </w:rPr>
              <w:t>Pensión para el Bienestar de las Personas con Discapacidad Permanente</w:t>
            </w:r>
            <w:r w:rsidR="00801AA9">
              <w:rPr>
                <w:rFonts w:ascii="Cambria" w:eastAsia="Cambria" w:hAnsi="Cambria" w:cs="Cambria"/>
                <w:color w:val="000000"/>
                <w:sz w:val="16"/>
                <w:szCs w:val="16"/>
              </w:rPr>
              <w:t xml:space="preserve"> (PPBPDP)</w:t>
            </w:r>
          </w:p>
        </w:tc>
      </w:tr>
      <w:tr w:rsidR="00CF49B9" w14:paraId="18F56C4E" w14:textId="77777777" w:rsidTr="001422F7">
        <w:trPr>
          <w:trHeight w:val="583"/>
          <w:jc w:val="center"/>
        </w:trPr>
        <w:tc>
          <w:tcPr>
            <w:tcW w:w="2405" w:type="dxa"/>
            <w:gridSpan w:val="2"/>
            <w:shd w:val="clear" w:color="auto" w:fill="auto"/>
            <w:vAlign w:val="center"/>
          </w:tcPr>
          <w:p w14:paraId="458E6107"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Unidad Responsable (UR):</w:t>
            </w:r>
          </w:p>
        </w:tc>
        <w:tc>
          <w:tcPr>
            <w:tcW w:w="6536" w:type="dxa"/>
            <w:gridSpan w:val="5"/>
            <w:shd w:val="clear" w:color="auto" w:fill="auto"/>
            <w:vAlign w:val="center"/>
          </w:tcPr>
          <w:p w14:paraId="022D251D" w14:textId="21C46958" w:rsidR="00CF49B9" w:rsidRDefault="003E1454" w:rsidP="001422F7">
            <w:pPr>
              <w:pBdr>
                <w:top w:val="nil"/>
                <w:left w:val="nil"/>
                <w:bottom w:val="nil"/>
                <w:right w:val="nil"/>
                <w:between w:val="nil"/>
              </w:pBdr>
              <w:spacing w:before="20" w:after="0" w:line="240" w:lineRule="auto"/>
              <w:rPr>
                <w:rFonts w:ascii="Cambria" w:eastAsia="Cambria" w:hAnsi="Cambria" w:cs="Cambria"/>
                <w:color w:val="000000"/>
                <w:sz w:val="16"/>
                <w:szCs w:val="16"/>
                <w:highlight w:val="yellow"/>
              </w:rPr>
            </w:pPr>
            <w:r w:rsidRPr="003E1454">
              <w:rPr>
                <w:rFonts w:ascii="Cambria" w:eastAsia="Cambria" w:hAnsi="Cambria" w:cs="Cambria"/>
                <w:color w:val="000000"/>
                <w:sz w:val="16"/>
                <w:szCs w:val="16"/>
              </w:rPr>
              <w:t>Direc</w:t>
            </w:r>
            <w:r>
              <w:rPr>
                <w:rFonts w:ascii="Cambria" w:eastAsia="Cambria" w:hAnsi="Cambria" w:cs="Cambria"/>
                <w:color w:val="000000"/>
                <w:sz w:val="16"/>
                <w:szCs w:val="16"/>
              </w:rPr>
              <w:t xml:space="preserve">ción </w:t>
            </w:r>
            <w:r w:rsidRPr="003E1454">
              <w:rPr>
                <w:rFonts w:ascii="Cambria" w:eastAsia="Cambria" w:hAnsi="Cambria" w:cs="Cambria"/>
                <w:color w:val="000000"/>
                <w:sz w:val="16"/>
                <w:szCs w:val="16"/>
              </w:rPr>
              <w:t>General de Operación Integral de Programas</w:t>
            </w:r>
            <w:r>
              <w:rPr>
                <w:rFonts w:ascii="Cambria" w:eastAsia="Cambria" w:hAnsi="Cambria" w:cs="Cambria"/>
                <w:color w:val="000000"/>
                <w:sz w:val="16"/>
                <w:szCs w:val="16"/>
              </w:rPr>
              <w:t xml:space="preserve"> (DGOIP)</w:t>
            </w:r>
          </w:p>
        </w:tc>
      </w:tr>
      <w:tr w:rsidR="00CF49B9" w14:paraId="6E149FBC" w14:textId="77777777" w:rsidTr="001422F7">
        <w:trPr>
          <w:trHeight w:val="583"/>
          <w:jc w:val="center"/>
        </w:trPr>
        <w:tc>
          <w:tcPr>
            <w:tcW w:w="2405" w:type="dxa"/>
            <w:gridSpan w:val="2"/>
            <w:shd w:val="clear" w:color="auto" w:fill="auto"/>
            <w:vAlign w:val="center"/>
          </w:tcPr>
          <w:p w14:paraId="1A48AA9B"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 xml:space="preserve">Área de Evaluación de la dependencia (AE):  </w:t>
            </w:r>
          </w:p>
        </w:tc>
        <w:tc>
          <w:tcPr>
            <w:tcW w:w="6536" w:type="dxa"/>
            <w:gridSpan w:val="5"/>
            <w:shd w:val="clear" w:color="auto" w:fill="auto"/>
            <w:vAlign w:val="center"/>
          </w:tcPr>
          <w:p w14:paraId="70C5C49D" w14:textId="43914ADA" w:rsidR="00CF49B9" w:rsidRDefault="003E1454" w:rsidP="001422F7">
            <w:pPr>
              <w:pBdr>
                <w:top w:val="nil"/>
                <w:left w:val="nil"/>
                <w:bottom w:val="nil"/>
                <w:right w:val="nil"/>
                <w:between w:val="nil"/>
              </w:pBdr>
              <w:spacing w:before="20" w:after="0" w:line="240" w:lineRule="auto"/>
              <w:rPr>
                <w:rFonts w:ascii="Cambria" w:eastAsia="Cambria" w:hAnsi="Cambria" w:cs="Cambria"/>
                <w:color w:val="000000"/>
                <w:sz w:val="16"/>
                <w:szCs w:val="16"/>
              </w:rPr>
            </w:pPr>
            <w:r>
              <w:rPr>
                <w:rFonts w:ascii="Cambria" w:eastAsia="Cambria" w:hAnsi="Cambria" w:cs="Cambria"/>
                <w:color w:val="000000"/>
                <w:sz w:val="16"/>
                <w:szCs w:val="16"/>
              </w:rPr>
              <w:t>Dirección General de Monitoreo y Evaluación para el Desarrollo (DGMED)</w:t>
            </w:r>
          </w:p>
        </w:tc>
      </w:tr>
      <w:tr w:rsidR="00CF49B9" w14:paraId="02685FF9" w14:textId="77777777" w:rsidTr="001422F7">
        <w:trPr>
          <w:trHeight w:val="317"/>
          <w:jc w:val="center"/>
        </w:trPr>
        <w:tc>
          <w:tcPr>
            <w:tcW w:w="2405" w:type="dxa"/>
            <w:gridSpan w:val="2"/>
            <w:vMerge w:val="restart"/>
            <w:shd w:val="clear" w:color="auto" w:fill="E7E6E6"/>
            <w:vAlign w:val="center"/>
          </w:tcPr>
          <w:p w14:paraId="2840F44C"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 xml:space="preserve">Instancia Evaluadora (IE): </w:t>
            </w:r>
          </w:p>
        </w:tc>
        <w:tc>
          <w:tcPr>
            <w:tcW w:w="2126" w:type="dxa"/>
            <w:shd w:val="clear" w:color="auto" w:fill="E7E6E6"/>
            <w:vAlign w:val="center"/>
          </w:tcPr>
          <w:p w14:paraId="5EE8CAF8"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 xml:space="preserve">Denominación: </w:t>
            </w:r>
          </w:p>
        </w:tc>
        <w:tc>
          <w:tcPr>
            <w:tcW w:w="4410" w:type="dxa"/>
            <w:gridSpan w:val="4"/>
            <w:shd w:val="clear" w:color="auto" w:fill="E7E6E6"/>
            <w:vAlign w:val="center"/>
          </w:tcPr>
          <w:p w14:paraId="23BF7140" w14:textId="10C6FD35" w:rsidR="00CF49B9" w:rsidRDefault="003E1454" w:rsidP="001422F7">
            <w:pPr>
              <w:pBdr>
                <w:top w:val="nil"/>
                <w:left w:val="nil"/>
                <w:bottom w:val="nil"/>
                <w:right w:val="nil"/>
                <w:between w:val="nil"/>
              </w:pBdr>
              <w:spacing w:after="0" w:line="240" w:lineRule="auto"/>
              <w:rPr>
                <w:rFonts w:ascii="Soberana Sans" w:eastAsia="Soberana Sans" w:hAnsi="Soberana Sans" w:cs="Soberana Sans"/>
                <w:color w:val="000000"/>
                <w:sz w:val="12"/>
                <w:szCs w:val="12"/>
              </w:rPr>
            </w:pPr>
            <w:r w:rsidRPr="003E1454">
              <w:rPr>
                <w:rFonts w:ascii="Cambria" w:eastAsia="Cambria" w:hAnsi="Cambria" w:cs="Cambria"/>
                <w:color w:val="000000"/>
                <w:sz w:val="16"/>
                <w:szCs w:val="16"/>
              </w:rPr>
              <w:t>Investigación en Salud y Demografía, S. C.</w:t>
            </w:r>
          </w:p>
        </w:tc>
      </w:tr>
      <w:tr w:rsidR="00CF49B9" w14:paraId="339EC670" w14:textId="77777777" w:rsidTr="001422F7">
        <w:trPr>
          <w:trHeight w:val="293"/>
          <w:jc w:val="center"/>
        </w:trPr>
        <w:tc>
          <w:tcPr>
            <w:tcW w:w="2405" w:type="dxa"/>
            <w:gridSpan w:val="2"/>
            <w:vMerge/>
            <w:shd w:val="clear" w:color="auto" w:fill="E7E6E6"/>
            <w:vAlign w:val="center"/>
          </w:tcPr>
          <w:p w14:paraId="79367E03" w14:textId="77777777" w:rsidR="00CF49B9" w:rsidRDefault="00CF49B9" w:rsidP="001422F7">
            <w:pPr>
              <w:widowControl w:val="0"/>
              <w:pBdr>
                <w:top w:val="nil"/>
                <w:left w:val="nil"/>
                <w:bottom w:val="nil"/>
                <w:right w:val="nil"/>
                <w:between w:val="nil"/>
              </w:pBdr>
              <w:spacing w:after="0"/>
              <w:rPr>
                <w:rFonts w:ascii="Soberana Sans" w:eastAsia="Soberana Sans" w:hAnsi="Soberana Sans" w:cs="Soberana Sans"/>
                <w:color w:val="000000"/>
                <w:sz w:val="12"/>
                <w:szCs w:val="12"/>
              </w:rPr>
            </w:pPr>
          </w:p>
        </w:tc>
        <w:tc>
          <w:tcPr>
            <w:tcW w:w="2126" w:type="dxa"/>
            <w:shd w:val="clear" w:color="auto" w:fill="E7E6E6"/>
            <w:vAlign w:val="center"/>
          </w:tcPr>
          <w:p w14:paraId="3A8D3FE4"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Coordinador(a):</w:t>
            </w:r>
          </w:p>
        </w:tc>
        <w:tc>
          <w:tcPr>
            <w:tcW w:w="4410" w:type="dxa"/>
            <w:gridSpan w:val="4"/>
            <w:shd w:val="clear" w:color="auto" w:fill="E7E6E6"/>
            <w:vAlign w:val="center"/>
          </w:tcPr>
          <w:p w14:paraId="57D8CF8A" w14:textId="526D0F8E" w:rsidR="00CF49B9" w:rsidRDefault="003E1454" w:rsidP="001422F7">
            <w:pPr>
              <w:pBdr>
                <w:top w:val="nil"/>
                <w:left w:val="nil"/>
                <w:bottom w:val="nil"/>
                <w:right w:val="nil"/>
                <w:between w:val="nil"/>
              </w:pBdr>
              <w:spacing w:after="0" w:line="240" w:lineRule="auto"/>
              <w:rPr>
                <w:rFonts w:ascii="Cambria" w:eastAsia="Cambria" w:hAnsi="Cambria" w:cs="Cambria"/>
                <w:color w:val="000000"/>
                <w:sz w:val="16"/>
                <w:szCs w:val="16"/>
              </w:rPr>
            </w:pPr>
            <w:r w:rsidRPr="003E1454">
              <w:rPr>
                <w:rFonts w:ascii="Cambria" w:eastAsia="Cambria" w:hAnsi="Cambria" w:cs="Cambria"/>
                <w:color w:val="000000"/>
                <w:sz w:val="16"/>
                <w:szCs w:val="16"/>
              </w:rPr>
              <w:t>Ricardo Vernon Cárter</w:t>
            </w:r>
          </w:p>
        </w:tc>
      </w:tr>
      <w:tr w:rsidR="00CF49B9" w14:paraId="4BEB9A2E" w14:textId="77777777" w:rsidTr="001422F7">
        <w:trPr>
          <w:trHeight w:val="397"/>
          <w:jc w:val="center"/>
        </w:trPr>
        <w:tc>
          <w:tcPr>
            <w:tcW w:w="2405" w:type="dxa"/>
            <w:gridSpan w:val="2"/>
            <w:vMerge/>
            <w:shd w:val="clear" w:color="auto" w:fill="E7E6E6"/>
            <w:vAlign w:val="center"/>
          </w:tcPr>
          <w:p w14:paraId="6D2F8057" w14:textId="77777777" w:rsidR="00CF49B9" w:rsidRDefault="00CF49B9" w:rsidP="001422F7">
            <w:pPr>
              <w:widowControl w:val="0"/>
              <w:pBdr>
                <w:top w:val="nil"/>
                <w:left w:val="nil"/>
                <w:bottom w:val="nil"/>
                <w:right w:val="nil"/>
                <w:between w:val="nil"/>
              </w:pBdr>
              <w:spacing w:after="0"/>
              <w:rPr>
                <w:rFonts w:ascii="Cambria" w:eastAsia="Cambria" w:hAnsi="Cambria" w:cs="Cambria"/>
                <w:color w:val="000000"/>
                <w:sz w:val="16"/>
                <w:szCs w:val="16"/>
              </w:rPr>
            </w:pPr>
          </w:p>
        </w:tc>
        <w:tc>
          <w:tcPr>
            <w:tcW w:w="2126" w:type="dxa"/>
            <w:shd w:val="clear" w:color="auto" w:fill="E7E6E6"/>
            <w:vAlign w:val="center"/>
          </w:tcPr>
          <w:p w14:paraId="525B78A6"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Colaboradores(as):</w:t>
            </w:r>
          </w:p>
        </w:tc>
        <w:tc>
          <w:tcPr>
            <w:tcW w:w="4410" w:type="dxa"/>
            <w:gridSpan w:val="4"/>
            <w:shd w:val="clear" w:color="auto" w:fill="E7E6E6"/>
            <w:vAlign w:val="center"/>
          </w:tcPr>
          <w:p w14:paraId="37DA4E7A" w14:textId="051E9787" w:rsidR="003E1454" w:rsidRPr="003E1454" w:rsidRDefault="003E1454" w:rsidP="003E1454">
            <w:pPr>
              <w:pBdr>
                <w:top w:val="nil"/>
                <w:left w:val="nil"/>
                <w:bottom w:val="nil"/>
                <w:right w:val="nil"/>
                <w:between w:val="nil"/>
              </w:pBdr>
              <w:spacing w:after="0" w:line="240" w:lineRule="auto"/>
              <w:rPr>
                <w:rFonts w:ascii="Cambria" w:eastAsia="Cambria" w:hAnsi="Cambria" w:cs="Cambria"/>
                <w:color w:val="000000"/>
                <w:sz w:val="16"/>
                <w:szCs w:val="16"/>
              </w:rPr>
            </w:pPr>
            <w:r w:rsidRPr="003E1454">
              <w:rPr>
                <w:rFonts w:ascii="Cambria" w:eastAsia="Cambria" w:hAnsi="Cambria" w:cs="Cambria"/>
                <w:color w:val="000000"/>
                <w:sz w:val="16"/>
                <w:szCs w:val="16"/>
              </w:rPr>
              <w:t>Javier E. Jiménez Bolón</w:t>
            </w:r>
          </w:p>
          <w:p w14:paraId="4D01613B" w14:textId="01A7BE5C" w:rsidR="003E1454" w:rsidRPr="003E1454" w:rsidRDefault="003E1454" w:rsidP="003E1454">
            <w:pPr>
              <w:pBdr>
                <w:top w:val="nil"/>
                <w:left w:val="nil"/>
                <w:bottom w:val="nil"/>
                <w:right w:val="nil"/>
                <w:between w:val="nil"/>
              </w:pBdr>
              <w:spacing w:after="0" w:line="240" w:lineRule="auto"/>
              <w:rPr>
                <w:rFonts w:ascii="Cambria" w:eastAsia="Cambria" w:hAnsi="Cambria" w:cs="Cambria"/>
                <w:color w:val="000000"/>
                <w:sz w:val="16"/>
                <w:szCs w:val="16"/>
              </w:rPr>
            </w:pPr>
            <w:r w:rsidRPr="003E1454">
              <w:rPr>
                <w:rFonts w:ascii="Cambria" w:eastAsia="Cambria" w:hAnsi="Cambria" w:cs="Cambria"/>
                <w:color w:val="000000"/>
                <w:sz w:val="16"/>
                <w:szCs w:val="16"/>
              </w:rPr>
              <w:t>Elsa Elena García Koch</w:t>
            </w:r>
          </w:p>
          <w:p w14:paraId="1A3059A4" w14:textId="1B3E7843" w:rsidR="00CF49B9" w:rsidRDefault="003E1454" w:rsidP="003E1454">
            <w:pPr>
              <w:pBdr>
                <w:top w:val="nil"/>
                <w:left w:val="nil"/>
                <w:bottom w:val="nil"/>
                <w:right w:val="nil"/>
                <w:between w:val="nil"/>
              </w:pBdr>
              <w:spacing w:after="0" w:line="240" w:lineRule="auto"/>
              <w:rPr>
                <w:rFonts w:ascii="Cambria" w:eastAsia="Cambria" w:hAnsi="Cambria" w:cs="Cambria"/>
                <w:color w:val="000000"/>
                <w:sz w:val="16"/>
                <w:szCs w:val="16"/>
              </w:rPr>
            </w:pPr>
            <w:r w:rsidRPr="003E1454">
              <w:rPr>
                <w:rFonts w:ascii="Cambria" w:eastAsia="Cambria" w:hAnsi="Cambria" w:cs="Cambria"/>
                <w:color w:val="000000"/>
                <w:sz w:val="16"/>
                <w:szCs w:val="16"/>
              </w:rPr>
              <w:t xml:space="preserve">Lorena </w:t>
            </w:r>
            <w:proofErr w:type="spellStart"/>
            <w:r w:rsidRPr="003E1454">
              <w:rPr>
                <w:rFonts w:ascii="Cambria" w:eastAsia="Cambria" w:hAnsi="Cambria" w:cs="Cambria"/>
                <w:color w:val="000000"/>
                <w:sz w:val="16"/>
                <w:szCs w:val="16"/>
              </w:rPr>
              <w:t>Turquíe</w:t>
            </w:r>
            <w:proofErr w:type="spellEnd"/>
            <w:r w:rsidRPr="003E1454">
              <w:rPr>
                <w:rFonts w:ascii="Cambria" w:eastAsia="Cambria" w:hAnsi="Cambria" w:cs="Cambria"/>
                <w:color w:val="000000"/>
                <w:sz w:val="16"/>
                <w:szCs w:val="16"/>
              </w:rPr>
              <w:t xml:space="preserve"> Castillo</w:t>
            </w:r>
          </w:p>
        </w:tc>
      </w:tr>
      <w:tr w:rsidR="00CF49B9" w14:paraId="3A9D2D4E" w14:textId="77777777" w:rsidTr="001422F7">
        <w:trPr>
          <w:trHeight w:val="583"/>
          <w:jc w:val="center"/>
        </w:trPr>
        <w:tc>
          <w:tcPr>
            <w:tcW w:w="2405" w:type="dxa"/>
            <w:gridSpan w:val="2"/>
            <w:shd w:val="clear" w:color="auto" w:fill="auto"/>
            <w:vAlign w:val="center"/>
          </w:tcPr>
          <w:p w14:paraId="2886B9FE"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Procedimiento de contratación:</w:t>
            </w:r>
          </w:p>
        </w:tc>
        <w:tc>
          <w:tcPr>
            <w:tcW w:w="2126" w:type="dxa"/>
            <w:shd w:val="clear" w:color="auto" w:fill="auto"/>
            <w:vAlign w:val="center"/>
          </w:tcPr>
          <w:p w14:paraId="539A1299" w14:textId="2DBE0E7E" w:rsidR="00CF49B9" w:rsidRDefault="003E1454" w:rsidP="001422F7">
            <w:pPr>
              <w:pBdr>
                <w:top w:val="nil"/>
                <w:left w:val="nil"/>
                <w:bottom w:val="nil"/>
                <w:right w:val="nil"/>
                <w:between w:val="nil"/>
              </w:pBdr>
              <w:spacing w:after="0" w:line="240" w:lineRule="auto"/>
              <w:rPr>
                <w:rFonts w:ascii="Cambria" w:eastAsia="Cambria" w:hAnsi="Cambria" w:cs="Cambria"/>
                <w:color w:val="000000"/>
                <w:sz w:val="16"/>
                <w:szCs w:val="16"/>
              </w:rPr>
            </w:pPr>
            <w:r w:rsidRPr="003E1454">
              <w:rPr>
                <w:rFonts w:ascii="Cambria" w:eastAsia="Cambria" w:hAnsi="Cambria" w:cs="Cambria"/>
                <w:color w:val="000000"/>
                <w:sz w:val="16"/>
                <w:szCs w:val="16"/>
              </w:rPr>
              <w:t>Licitación Pública Nacional Electrónica</w:t>
            </w:r>
          </w:p>
        </w:tc>
        <w:tc>
          <w:tcPr>
            <w:tcW w:w="2144" w:type="dxa"/>
            <w:gridSpan w:val="2"/>
            <w:shd w:val="clear" w:color="auto" w:fill="auto"/>
            <w:vAlign w:val="center"/>
          </w:tcPr>
          <w:p w14:paraId="58C862CE" w14:textId="77777777" w:rsidR="00CF49B9" w:rsidRDefault="00CF49B9" w:rsidP="001422F7">
            <w:pPr>
              <w:pBdr>
                <w:top w:val="nil"/>
                <w:left w:val="nil"/>
                <w:bottom w:val="nil"/>
                <w:right w:val="nil"/>
                <w:between w:val="nil"/>
              </w:pBdr>
              <w:spacing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Costo de la evaluación:</w:t>
            </w:r>
          </w:p>
        </w:tc>
        <w:tc>
          <w:tcPr>
            <w:tcW w:w="2266" w:type="dxa"/>
            <w:gridSpan w:val="2"/>
            <w:shd w:val="clear" w:color="auto" w:fill="auto"/>
            <w:vAlign w:val="center"/>
          </w:tcPr>
          <w:p w14:paraId="1A834FE8" w14:textId="37862E64" w:rsidR="00CF49B9" w:rsidRDefault="003E1454" w:rsidP="001422F7">
            <w:pPr>
              <w:pBdr>
                <w:top w:val="nil"/>
                <w:left w:val="nil"/>
                <w:bottom w:val="nil"/>
                <w:right w:val="nil"/>
                <w:between w:val="nil"/>
              </w:pBdr>
              <w:spacing w:after="0" w:line="240" w:lineRule="auto"/>
              <w:rPr>
                <w:rFonts w:ascii="Cambria" w:eastAsia="Cambria" w:hAnsi="Cambria" w:cs="Cambria"/>
                <w:color w:val="000000"/>
                <w:sz w:val="16"/>
                <w:szCs w:val="16"/>
              </w:rPr>
            </w:pPr>
            <w:r w:rsidRPr="003E1454">
              <w:rPr>
                <w:rFonts w:ascii="Cambria" w:eastAsia="Cambria" w:hAnsi="Cambria" w:cs="Cambria"/>
                <w:color w:val="000000"/>
                <w:sz w:val="16"/>
                <w:szCs w:val="16"/>
              </w:rPr>
              <w:t>$1,949,000.00 más IVA</w:t>
            </w:r>
          </w:p>
        </w:tc>
      </w:tr>
      <w:tr w:rsidR="00CF49B9" w14:paraId="7BB3E56C" w14:textId="77777777" w:rsidTr="001422F7">
        <w:trPr>
          <w:trHeight w:val="583"/>
          <w:jc w:val="center"/>
        </w:trPr>
        <w:tc>
          <w:tcPr>
            <w:tcW w:w="2405" w:type="dxa"/>
            <w:gridSpan w:val="2"/>
            <w:shd w:val="clear" w:color="auto" w:fill="auto"/>
            <w:vAlign w:val="center"/>
          </w:tcPr>
          <w:p w14:paraId="3ADFE1C1"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Tipo de contratación:</w:t>
            </w:r>
          </w:p>
        </w:tc>
        <w:tc>
          <w:tcPr>
            <w:tcW w:w="2126" w:type="dxa"/>
            <w:shd w:val="clear" w:color="auto" w:fill="auto"/>
            <w:vAlign w:val="center"/>
          </w:tcPr>
          <w:p w14:paraId="39E4697A" w14:textId="5B7967C1" w:rsidR="00CF49B9" w:rsidRDefault="003E1454" w:rsidP="001422F7">
            <w:pPr>
              <w:pBdr>
                <w:top w:val="nil"/>
                <w:left w:val="nil"/>
                <w:bottom w:val="nil"/>
                <w:right w:val="nil"/>
                <w:between w:val="nil"/>
              </w:pBdr>
              <w:spacing w:after="0" w:line="240" w:lineRule="auto"/>
              <w:rPr>
                <w:rFonts w:ascii="Cambria" w:eastAsia="Cambria" w:hAnsi="Cambria" w:cs="Cambria"/>
                <w:color w:val="000000"/>
                <w:sz w:val="16"/>
                <w:szCs w:val="16"/>
              </w:rPr>
            </w:pPr>
            <w:r>
              <w:rPr>
                <w:rFonts w:ascii="Cambria" w:eastAsia="Cambria" w:hAnsi="Cambria" w:cs="Cambria"/>
                <w:color w:val="000000"/>
                <w:sz w:val="16"/>
                <w:szCs w:val="16"/>
              </w:rPr>
              <w:t xml:space="preserve">Individual </w:t>
            </w:r>
          </w:p>
        </w:tc>
        <w:tc>
          <w:tcPr>
            <w:tcW w:w="2144" w:type="dxa"/>
            <w:gridSpan w:val="2"/>
            <w:shd w:val="clear" w:color="auto" w:fill="auto"/>
            <w:vAlign w:val="center"/>
          </w:tcPr>
          <w:p w14:paraId="0AAF4849" w14:textId="77777777" w:rsidR="00CF49B9" w:rsidRDefault="00CF49B9" w:rsidP="001422F7">
            <w:pPr>
              <w:pBdr>
                <w:top w:val="nil"/>
                <w:left w:val="nil"/>
                <w:bottom w:val="nil"/>
                <w:right w:val="nil"/>
                <w:between w:val="nil"/>
              </w:pBdr>
              <w:spacing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Fuente de financiamiento:</w:t>
            </w:r>
          </w:p>
        </w:tc>
        <w:tc>
          <w:tcPr>
            <w:tcW w:w="2266" w:type="dxa"/>
            <w:gridSpan w:val="2"/>
            <w:shd w:val="clear" w:color="auto" w:fill="auto"/>
            <w:vAlign w:val="center"/>
          </w:tcPr>
          <w:p w14:paraId="0174DFA1" w14:textId="1604AAF3" w:rsidR="00CF49B9" w:rsidRDefault="003E1454" w:rsidP="001422F7">
            <w:pPr>
              <w:pBdr>
                <w:top w:val="nil"/>
                <w:left w:val="nil"/>
                <w:bottom w:val="nil"/>
                <w:right w:val="nil"/>
                <w:between w:val="nil"/>
              </w:pBdr>
              <w:spacing w:after="0" w:line="240" w:lineRule="auto"/>
              <w:rPr>
                <w:rFonts w:ascii="Cambria" w:eastAsia="Cambria" w:hAnsi="Cambria" w:cs="Cambria"/>
                <w:color w:val="000000"/>
                <w:sz w:val="16"/>
                <w:szCs w:val="16"/>
              </w:rPr>
            </w:pPr>
            <w:r w:rsidRPr="003E1454">
              <w:rPr>
                <w:rFonts w:ascii="Cambria" w:eastAsia="Cambria" w:hAnsi="Cambria" w:cs="Cambria"/>
                <w:color w:val="000000"/>
                <w:sz w:val="16"/>
                <w:szCs w:val="16"/>
              </w:rPr>
              <w:t>Recursos Federales</w:t>
            </w:r>
          </w:p>
        </w:tc>
      </w:tr>
      <w:tr w:rsidR="00CF49B9" w14:paraId="007C6984" w14:textId="77777777" w:rsidTr="001422F7">
        <w:trPr>
          <w:trHeight w:val="583"/>
          <w:jc w:val="center"/>
        </w:trPr>
        <w:tc>
          <w:tcPr>
            <w:tcW w:w="2405" w:type="dxa"/>
            <w:gridSpan w:val="2"/>
            <w:shd w:val="clear" w:color="auto" w:fill="D9D9D9"/>
            <w:vAlign w:val="center"/>
          </w:tcPr>
          <w:p w14:paraId="3F755A72"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Instancia de coordinación de la evaluación:</w:t>
            </w:r>
          </w:p>
        </w:tc>
        <w:tc>
          <w:tcPr>
            <w:tcW w:w="6536" w:type="dxa"/>
            <w:gridSpan w:val="5"/>
            <w:shd w:val="clear" w:color="auto" w:fill="D9D9D9"/>
            <w:vAlign w:val="center"/>
          </w:tcPr>
          <w:p w14:paraId="141B9053" w14:textId="56D9C807" w:rsidR="00CF49B9" w:rsidRDefault="00CF49B9" w:rsidP="001422F7">
            <w:pPr>
              <w:pBdr>
                <w:top w:val="nil"/>
                <w:left w:val="nil"/>
                <w:bottom w:val="nil"/>
                <w:right w:val="nil"/>
                <w:between w:val="nil"/>
              </w:pBdr>
              <w:spacing w:after="0" w:line="240" w:lineRule="auto"/>
              <w:rPr>
                <w:rFonts w:ascii="Cambria" w:eastAsia="Cambria" w:hAnsi="Cambria" w:cs="Cambria"/>
                <w:color w:val="000000"/>
                <w:sz w:val="16"/>
                <w:szCs w:val="16"/>
              </w:rPr>
            </w:pPr>
            <w:r>
              <w:rPr>
                <w:rFonts w:ascii="Cambria" w:eastAsia="Cambria" w:hAnsi="Cambria" w:cs="Cambria"/>
                <w:i/>
                <w:color w:val="000000"/>
                <w:sz w:val="16"/>
                <w:szCs w:val="16"/>
              </w:rPr>
              <w:t>Consejo Nacional de Evaluación de la Política de Desarrollo Social</w:t>
            </w:r>
          </w:p>
        </w:tc>
      </w:tr>
    </w:tbl>
    <w:p w14:paraId="6C361E1C" w14:textId="77777777" w:rsidR="001524E7" w:rsidRDefault="001524E7" w:rsidP="00CF49B9">
      <w:pPr>
        <w:pBdr>
          <w:top w:val="nil"/>
          <w:left w:val="nil"/>
          <w:bottom w:val="nil"/>
          <w:right w:val="nil"/>
          <w:between w:val="nil"/>
        </w:pBdr>
        <w:spacing w:after="120" w:line="240" w:lineRule="auto"/>
        <w:jc w:val="both"/>
        <w:rPr>
          <w:rFonts w:ascii="Cambria" w:eastAsia="Cambria" w:hAnsi="Cambria" w:cs="Cambria"/>
          <w:b/>
          <w:color w:val="000000"/>
        </w:rPr>
      </w:pPr>
    </w:p>
    <w:p w14:paraId="5BE65C0B" w14:textId="6532E2DD" w:rsidR="00CF49B9" w:rsidRDefault="00CF49B9" w:rsidP="00CF49B9">
      <w:pPr>
        <w:pBdr>
          <w:top w:val="nil"/>
          <w:left w:val="nil"/>
          <w:bottom w:val="nil"/>
          <w:right w:val="nil"/>
          <w:between w:val="nil"/>
        </w:pBdr>
        <w:spacing w:after="120" w:line="240" w:lineRule="auto"/>
        <w:jc w:val="both"/>
        <w:rPr>
          <w:rFonts w:ascii="Cambria" w:eastAsia="Cambria" w:hAnsi="Cambria" w:cs="Cambria"/>
          <w:color w:val="000000"/>
        </w:rPr>
      </w:pPr>
      <w:r>
        <w:rPr>
          <w:rFonts w:ascii="Cambria" w:eastAsia="Cambria" w:hAnsi="Cambria" w:cs="Cambria"/>
          <w:b/>
          <w:color w:val="000000"/>
        </w:rPr>
        <w:t>Descripción del Programa</w:t>
      </w:r>
    </w:p>
    <w:p w14:paraId="72C0B88E" w14:textId="0378518B" w:rsidR="00801AA9" w:rsidRPr="00801AA9" w:rsidRDefault="00801AA9" w:rsidP="00801AA9">
      <w:pPr>
        <w:pBdr>
          <w:top w:val="nil"/>
          <w:left w:val="nil"/>
          <w:bottom w:val="nil"/>
          <w:right w:val="nil"/>
          <w:between w:val="nil"/>
        </w:pBdr>
        <w:spacing w:after="120" w:line="240" w:lineRule="auto"/>
        <w:jc w:val="both"/>
        <w:rPr>
          <w:rFonts w:ascii="Cambria" w:eastAsia="Cambria" w:hAnsi="Cambria" w:cs="Cambria"/>
          <w:color w:val="000000"/>
        </w:rPr>
      </w:pPr>
      <w:r w:rsidRPr="00801AA9">
        <w:rPr>
          <w:rFonts w:ascii="Cambria" w:eastAsia="Cambria" w:hAnsi="Cambria" w:cs="Cambria"/>
          <w:color w:val="000000"/>
        </w:rPr>
        <w:t>El PPBPDP</w:t>
      </w:r>
      <w:r>
        <w:rPr>
          <w:rFonts w:ascii="Cambria" w:eastAsia="Cambria" w:hAnsi="Cambria" w:cs="Cambria"/>
          <w:color w:val="000000"/>
        </w:rPr>
        <w:t xml:space="preserve"> inició operaciones en </w:t>
      </w:r>
      <w:r w:rsidRPr="00801AA9">
        <w:rPr>
          <w:rFonts w:ascii="Cambria" w:eastAsia="Cambria" w:hAnsi="Cambria" w:cs="Cambria"/>
          <w:color w:val="000000"/>
        </w:rPr>
        <w:t xml:space="preserve">2019, </w:t>
      </w:r>
      <w:r>
        <w:rPr>
          <w:rFonts w:ascii="Cambria" w:eastAsia="Cambria" w:hAnsi="Cambria" w:cs="Cambria"/>
          <w:color w:val="000000"/>
        </w:rPr>
        <w:t xml:space="preserve">con el </w:t>
      </w:r>
      <w:r w:rsidRPr="00801AA9">
        <w:rPr>
          <w:rFonts w:ascii="Cambria" w:eastAsia="Cambria" w:hAnsi="Cambria" w:cs="Cambria"/>
          <w:color w:val="000000"/>
        </w:rPr>
        <w:t xml:space="preserve">objetivo </w:t>
      </w:r>
      <w:r>
        <w:rPr>
          <w:rFonts w:ascii="Cambria" w:eastAsia="Cambria" w:hAnsi="Cambria" w:cs="Cambria"/>
          <w:color w:val="000000"/>
        </w:rPr>
        <w:t xml:space="preserve">de </w:t>
      </w:r>
      <w:r w:rsidRPr="00801AA9">
        <w:rPr>
          <w:rFonts w:ascii="Cambria" w:eastAsia="Cambria" w:hAnsi="Cambria" w:cs="Cambria"/>
          <w:color w:val="000000"/>
        </w:rPr>
        <w:t>contribuir a mejorar el ingreso monetario de los hogares de las personas con discapacidad permanente de niñas, niños, adolescentes y jóvenes de 0 a 29 años y personas de 30 y hasta un día antes de cumplir los 65 años, que habiten en municipios y localidades indígenas o afromexicanas o en municipios o localidades con alto o muy alto grado de marginación.</w:t>
      </w:r>
    </w:p>
    <w:p w14:paraId="66751226" w14:textId="272113CD" w:rsidR="00801AA9" w:rsidRPr="00801AA9" w:rsidRDefault="00801AA9" w:rsidP="00801AA9">
      <w:pPr>
        <w:pBdr>
          <w:top w:val="nil"/>
          <w:left w:val="nil"/>
          <w:bottom w:val="nil"/>
          <w:right w:val="nil"/>
          <w:between w:val="nil"/>
        </w:pBdr>
        <w:spacing w:after="120" w:line="240" w:lineRule="auto"/>
        <w:jc w:val="both"/>
        <w:rPr>
          <w:rFonts w:ascii="Cambria" w:eastAsia="Cambria" w:hAnsi="Cambria" w:cs="Cambria"/>
          <w:color w:val="000000"/>
        </w:rPr>
      </w:pPr>
      <w:r>
        <w:rPr>
          <w:rFonts w:ascii="Cambria" w:eastAsia="Cambria" w:hAnsi="Cambria" w:cs="Cambria"/>
          <w:color w:val="000000"/>
        </w:rPr>
        <w:t>E</w:t>
      </w:r>
      <w:r w:rsidRPr="00801AA9">
        <w:rPr>
          <w:rFonts w:ascii="Cambria" w:eastAsia="Cambria" w:hAnsi="Cambria" w:cs="Cambria"/>
          <w:color w:val="000000"/>
        </w:rPr>
        <w:t xml:space="preserve">l PPBPDP entrega un apoyo económico bimestral directo a las personas derechohabientes </w:t>
      </w:r>
      <w:r>
        <w:rPr>
          <w:rFonts w:ascii="Cambria" w:eastAsia="Cambria" w:hAnsi="Cambria" w:cs="Cambria"/>
          <w:color w:val="000000"/>
        </w:rPr>
        <w:t xml:space="preserve">(PDH) </w:t>
      </w:r>
      <w:r w:rsidRPr="00801AA9">
        <w:rPr>
          <w:rFonts w:ascii="Cambria" w:eastAsia="Cambria" w:hAnsi="Cambria" w:cs="Cambria"/>
          <w:color w:val="000000"/>
        </w:rPr>
        <w:t xml:space="preserve">por $2,800. </w:t>
      </w:r>
      <w:r>
        <w:rPr>
          <w:rFonts w:ascii="Cambria" w:eastAsia="Cambria" w:hAnsi="Cambria" w:cs="Cambria"/>
          <w:color w:val="000000"/>
        </w:rPr>
        <w:t xml:space="preserve">En caso de fallecimiento de la PDH, </w:t>
      </w:r>
      <w:r w:rsidRPr="00801AA9">
        <w:rPr>
          <w:rFonts w:ascii="Cambria" w:eastAsia="Cambria" w:hAnsi="Cambria" w:cs="Cambria"/>
          <w:color w:val="000000"/>
        </w:rPr>
        <w:t xml:space="preserve">otorga un apoyo </w:t>
      </w:r>
      <w:r w:rsidR="007A6CA0">
        <w:rPr>
          <w:rFonts w:ascii="Cambria" w:eastAsia="Cambria" w:hAnsi="Cambria" w:cs="Cambria"/>
          <w:color w:val="000000"/>
        </w:rPr>
        <w:t xml:space="preserve">único por </w:t>
      </w:r>
      <w:r w:rsidRPr="00801AA9">
        <w:rPr>
          <w:rFonts w:ascii="Cambria" w:eastAsia="Cambria" w:hAnsi="Cambria" w:cs="Cambria"/>
          <w:color w:val="000000"/>
        </w:rPr>
        <w:t xml:space="preserve">pago de marcha por $1,400 a las personas adultas auxiliares </w:t>
      </w:r>
      <w:r>
        <w:rPr>
          <w:rFonts w:ascii="Cambria" w:eastAsia="Cambria" w:hAnsi="Cambria" w:cs="Cambria"/>
          <w:color w:val="000000"/>
        </w:rPr>
        <w:t>(PAA)</w:t>
      </w:r>
      <w:r w:rsidRPr="00801AA9">
        <w:rPr>
          <w:rFonts w:ascii="Cambria" w:eastAsia="Cambria" w:hAnsi="Cambria" w:cs="Cambria"/>
          <w:color w:val="000000"/>
        </w:rPr>
        <w:t xml:space="preserve">; y en caso de emergencia o desastre natural, establece un pago único adicional de un mes. </w:t>
      </w:r>
      <w:r w:rsidR="007A6CA0">
        <w:rPr>
          <w:rFonts w:ascii="Cambria" w:eastAsia="Cambria" w:hAnsi="Cambria" w:cs="Cambria"/>
          <w:color w:val="000000"/>
        </w:rPr>
        <w:t xml:space="preserve">A </w:t>
      </w:r>
      <w:r w:rsidRPr="00801AA9">
        <w:rPr>
          <w:rFonts w:ascii="Cambria" w:eastAsia="Cambria" w:hAnsi="Cambria" w:cs="Cambria"/>
          <w:color w:val="000000"/>
        </w:rPr>
        <w:t xml:space="preserve">partir de 2021, el Programa otorga un apoyo en especie a las </w:t>
      </w:r>
      <w:r w:rsidR="007A6CA0">
        <w:rPr>
          <w:rFonts w:ascii="Cambria" w:eastAsia="Cambria" w:hAnsi="Cambria" w:cs="Cambria"/>
          <w:color w:val="000000"/>
        </w:rPr>
        <w:t xml:space="preserve">PDH </w:t>
      </w:r>
      <w:r w:rsidRPr="00801AA9">
        <w:rPr>
          <w:rFonts w:ascii="Cambria" w:eastAsia="Cambria" w:hAnsi="Cambria" w:cs="Cambria"/>
          <w:color w:val="000000"/>
        </w:rPr>
        <w:t xml:space="preserve">de 0 a 17 años, </w:t>
      </w:r>
      <w:r w:rsidR="007A6CA0">
        <w:rPr>
          <w:rFonts w:ascii="Cambria" w:eastAsia="Cambria" w:hAnsi="Cambria" w:cs="Cambria"/>
          <w:color w:val="000000"/>
        </w:rPr>
        <w:t xml:space="preserve">para recibir </w:t>
      </w:r>
      <w:r w:rsidRPr="00801AA9">
        <w:rPr>
          <w:rFonts w:ascii="Cambria" w:eastAsia="Cambria" w:hAnsi="Cambria" w:cs="Cambria"/>
          <w:color w:val="000000"/>
        </w:rPr>
        <w:t>rehabilitación.</w:t>
      </w:r>
    </w:p>
    <w:p w14:paraId="77FAB589" w14:textId="7373139E" w:rsidR="00CF49B9" w:rsidRDefault="007A6CA0" w:rsidP="00801AA9">
      <w:pPr>
        <w:pBdr>
          <w:top w:val="nil"/>
          <w:left w:val="nil"/>
          <w:bottom w:val="nil"/>
          <w:right w:val="nil"/>
          <w:between w:val="nil"/>
        </w:pBdr>
        <w:spacing w:after="120" w:line="240" w:lineRule="auto"/>
        <w:jc w:val="both"/>
        <w:rPr>
          <w:rFonts w:ascii="Cambria" w:eastAsia="Cambria" w:hAnsi="Cambria" w:cs="Cambria"/>
          <w:color w:val="000000"/>
        </w:rPr>
      </w:pPr>
      <w:r>
        <w:rPr>
          <w:rFonts w:ascii="Cambria" w:eastAsia="Cambria" w:hAnsi="Cambria" w:cs="Cambria"/>
          <w:color w:val="000000"/>
        </w:rPr>
        <w:t xml:space="preserve">En </w:t>
      </w:r>
      <w:r w:rsidR="00801AA9" w:rsidRPr="00801AA9">
        <w:rPr>
          <w:rFonts w:ascii="Cambria" w:eastAsia="Cambria" w:hAnsi="Cambria" w:cs="Cambria"/>
          <w:color w:val="000000"/>
        </w:rPr>
        <w:t>2021 el programa ejerció</w:t>
      </w:r>
      <w:r>
        <w:rPr>
          <w:rFonts w:ascii="Cambria" w:eastAsia="Cambria" w:hAnsi="Cambria" w:cs="Cambria"/>
          <w:color w:val="000000"/>
        </w:rPr>
        <w:t xml:space="preserve"> </w:t>
      </w:r>
      <w:r w:rsidR="00801AA9" w:rsidRPr="00801AA9">
        <w:rPr>
          <w:rFonts w:ascii="Cambria" w:eastAsia="Cambria" w:hAnsi="Cambria" w:cs="Cambria"/>
          <w:color w:val="000000"/>
        </w:rPr>
        <w:t>15,500.79 millones de pesos para atender a 990,967</w:t>
      </w:r>
      <w:r>
        <w:rPr>
          <w:rFonts w:ascii="Cambria" w:eastAsia="Cambria" w:hAnsi="Cambria" w:cs="Cambria"/>
          <w:color w:val="000000"/>
        </w:rPr>
        <w:t xml:space="preserve"> PDH, lo que representa </w:t>
      </w:r>
      <w:r w:rsidR="00801AA9" w:rsidRPr="00801AA9">
        <w:rPr>
          <w:rFonts w:ascii="Cambria" w:eastAsia="Cambria" w:hAnsi="Cambria" w:cs="Cambria"/>
          <w:color w:val="000000"/>
        </w:rPr>
        <w:t xml:space="preserve">una eficacia de cobertura de 65.37% respecto de la población objetivo de este mismo año (1,515,841 personas identificadas con discapacidad permanente), en las 32 </w:t>
      </w:r>
      <w:r w:rsidR="00801AA9" w:rsidRPr="00801AA9">
        <w:rPr>
          <w:rFonts w:ascii="Cambria" w:eastAsia="Cambria" w:hAnsi="Cambria" w:cs="Cambria"/>
          <w:color w:val="000000"/>
        </w:rPr>
        <w:lastRenderedPageBreak/>
        <w:t>entidades federativas. En 2022, el programa cuenta con un presupuesto aprobado de 20,037.52 millones de pesos</w:t>
      </w:r>
      <w:r w:rsidR="00801AA9" w:rsidRPr="00801AA9">
        <w:rPr>
          <w:rFonts w:ascii="Cambria" w:eastAsia="Cambria" w:hAnsi="Cambria" w:cs="Cambria"/>
          <w:color w:val="000000"/>
        </w:rPr>
        <w:t>.</w:t>
      </w:r>
    </w:p>
    <w:p w14:paraId="68133DF5" w14:textId="2004C51A" w:rsidR="00CF49B9" w:rsidRPr="001524E7" w:rsidRDefault="00CF49B9" w:rsidP="00CF49B9">
      <w:pPr>
        <w:pBdr>
          <w:top w:val="nil"/>
          <w:left w:val="nil"/>
          <w:bottom w:val="nil"/>
          <w:right w:val="nil"/>
          <w:between w:val="nil"/>
        </w:pBdr>
        <w:spacing w:after="120" w:line="240" w:lineRule="auto"/>
        <w:jc w:val="both"/>
        <w:rPr>
          <w:rFonts w:ascii="Cambria" w:eastAsia="Cambria" w:hAnsi="Cambria" w:cs="Cambria"/>
          <w:b/>
          <w:color w:val="000000"/>
        </w:rPr>
      </w:pPr>
      <w:r w:rsidRPr="001524E7">
        <w:rPr>
          <w:rFonts w:ascii="Cambria" w:eastAsia="Cambria" w:hAnsi="Cambria" w:cs="Cambria"/>
          <w:b/>
          <w:color w:val="000000"/>
        </w:rPr>
        <w:t>Principales hallazgos de la evaluación</w:t>
      </w:r>
      <w:r>
        <w:rPr>
          <w:rFonts w:ascii="Cambria" w:eastAsia="Cambria" w:hAnsi="Cambria" w:cs="Cambria"/>
          <w:b/>
          <w:color w:val="000000"/>
        </w:rPr>
        <w:t xml:space="preserve"> </w:t>
      </w:r>
    </w:p>
    <w:p w14:paraId="5D2B4164" w14:textId="4AC7EFC4" w:rsidR="005D623F" w:rsidRPr="007A6CA0" w:rsidRDefault="007A6CA0" w:rsidP="004C6647">
      <w:pPr>
        <w:jc w:val="both"/>
        <w:rPr>
          <w:rFonts w:ascii="Cambria" w:eastAsia="Cambria" w:hAnsi="Cambria" w:cs="Cambria"/>
          <w:color w:val="000000"/>
        </w:rPr>
      </w:pPr>
      <w:r>
        <w:rPr>
          <w:rFonts w:ascii="Cambria" w:eastAsia="Cambria" w:hAnsi="Cambria" w:cs="Cambria"/>
          <w:color w:val="000000"/>
        </w:rPr>
        <w:t>L</w:t>
      </w:r>
      <w:r w:rsidRPr="007A6CA0">
        <w:rPr>
          <w:rFonts w:ascii="Cambria" w:eastAsia="Cambria" w:hAnsi="Cambria" w:cs="Cambria"/>
          <w:color w:val="000000"/>
        </w:rPr>
        <w:t>a valoración global de la gestión operativa del Programa se encuentra en un grado medio, con limitantes por proceso</w:t>
      </w:r>
      <w:r w:rsidR="004C6647">
        <w:rPr>
          <w:rFonts w:ascii="Cambria" w:eastAsia="Cambria" w:hAnsi="Cambria" w:cs="Cambria"/>
          <w:color w:val="000000"/>
        </w:rPr>
        <w:t xml:space="preserve">. </w:t>
      </w:r>
      <w:r w:rsidRPr="007A6CA0">
        <w:rPr>
          <w:rFonts w:ascii="Cambria" w:eastAsia="Cambria" w:hAnsi="Cambria" w:cs="Cambria"/>
          <w:color w:val="000000"/>
        </w:rPr>
        <w:t xml:space="preserve">Uno de los principales hallazgos es que, si bien se debe trabajar en la documentación de todos los procesos del </w:t>
      </w:r>
      <w:r w:rsidR="004C6647">
        <w:rPr>
          <w:rFonts w:ascii="Cambria" w:eastAsia="Cambria" w:hAnsi="Cambria" w:cs="Cambria"/>
          <w:color w:val="000000"/>
        </w:rPr>
        <w:t>Programa</w:t>
      </w:r>
      <w:r w:rsidRPr="007A6CA0">
        <w:rPr>
          <w:rFonts w:ascii="Cambria" w:eastAsia="Cambria" w:hAnsi="Cambria" w:cs="Cambria"/>
          <w:color w:val="000000"/>
        </w:rPr>
        <w:t>, el proceso prioritario por atender en el corto plazo es el de la Difusión derivado de que de los diez procesos del MGO-P es el único con un grado de consolidación operativa baja; esto es resultado,</w:t>
      </w:r>
      <w:r w:rsidR="004C6647" w:rsidRPr="004C6647">
        <w:t xml:space="preserve"> </w:t>
      </w:r>
      <w:r w:rsidR="004C6647" w:rsidRPr="004C6647">
        <w:rPr>
          <w:rFonts w:ascii="Cambria" w:eastAsia="Cambria" w:hAnsi="Cambria" w:cs="Cambria"/>
          <w:color w:val="000000"/>
        </w:rPr>
        <w:t>de que no se identificaron elementos que permitan monitorear si la difusión cumplió con sus objetivos y si la información difundida fue clara para las posibles personas derechohabientes.</w:t>
      </w:r>
    </w:p>
    <w:p w14:paraId="248BD2F1" w14:textId="21E9C3AF" w:rsidR="00614444" w:rsidRPr="001524E7" w:rsidRDefault="00614444" w:rsidP="00614444">
      <w:pPr>
        <w:pBdr>
          <w:top w:val="nil"/>
          <w:left w:val="nil"/>
          <w:bottom w:val="nil"/>
          <w:right w:val="nil"/>
          <w:between w:val="nil"/>
        </w:pBdr>
        <w:spacing w:after="120" w:line="240" w:lineRule="auto"/>
        <w:jc w:val="both"/>
        <w:rPr>
          <w:rFonts w:ascii="Cambria" w:eastAsia="Cambria" w:hAnsi="Cambria" w:cs="Cambria"/>
          <w:b/>
          <w:color w:val="000000"/>
        </w:rPr>
      </w:pPr>
      <w:r>
        <w:rPr>
          <w:rFonts w:ascii="Cambria" w:eastAsia="Cambria" w:hAnsi="Cambria" w:cs="Cambria"/>
          <w:b/>
          <w:color w:val="000000"/>
        </w:rPr>
        <w:t>Principales recomendaciones de la evaluación</w:t>
      </w:r>
    </w:p>
    <w:p w14:paraId="23281E40" w14:textId="2FD091C4" w:rsidR="00614444" w:rsidRDefault="004C6647" w:rsidP="00614444">
      <w:pPr>
        <w:pBdr>
          <w:top w:val="nil"/>
          <w:left w:val="nil"/>
          <w:bottom w:val="nil"/>
          <w:right w:val="nil"/>
          <w:between w:val="nil"/>
        </w:pBdr>
        <w:spacing w:after="120" w:line="240" w:lineRule="auto"/>
        <w:jc w:val="both"/>
        <w:rPr>
          <w:rFonts w:ascii="Cambria" w:eastAsia="Cambria" w:hAnsi="Cambria" w:cs="Cambria"/>
          <w:color w:val="000000"/>
        </w:rPr>
      </w:pPr>
      <w:r w:rsidRPr="004C6647">
        <w:rPr>
          <w:rFonts w:ascii="Cambria" w:eastAsia="Cambria" w:hAnsi="Cambria" w:cs="Cambria"/>
          <w:color w:val="000000"/>
        </w:rPr>
        <w:t>Revisar el problema público por atender con el Programa</w:t>
      </w:r>
      <w:r>
        <w:rPr>
          <w:rFonts w:ascii="Cambria" w:eastAsia="Cambria" w:hAnsi="Cambria" w:cs="Cambria"/>
          <w:color w:val="000000"/>
        </w:rPr>
        <w:t>; e</w:t>
      </w:r>
      <w:r w:rsidRPr="004C6647">
        <w:rPr>
          <w:rFonts w:ascii="Cambria" w:eastAsia="Cambria" w:hAnsi="Cambria" w:cs="Cambria"/>
          <w:color w:val="000000"/>
        </w:rPr>
        <w:t xml:space="preserve">laborar un Manual de procesos donde se especifiquen los procedimientos internos, así como los tramos de responsabilidad para cada uno de los involucrados en </w:t>
      </w:r>
      <w:r>
        <w:rPr>
          <w:rFonts w:ascii="Cambria" w:eastAsia="Cambria" w:hAnsi="Cambria" w:cs="Cambria"/>
          <w:color w:val="000000"/>
        </w:rPr>
        <w:t xml:space="preserve">los procesos </w:t>
      </w:r>
      <w:r w:rsidRPr="004C6647">
        <w:rPr>
          <w:rFonts w:ascii="Cambria" w:eastAsia="Cambria" w:hAnsi="Cambria" w:cs="Cambria"/>
          <w:color w:val="000000"/>
        </w:rPr>
        <w:t>del PPBPDP</w:t>
      </w:r>
      <w:r>
        <w:rPr>
          <w:rFonts w:ascii="Cambria" w:eastAsia="Cambria" w:hAnsi="Cambria" w:cs="Cambria"/>
          <w:color w:val="000000"/>
        </w:rPr>
        <w:t>; h</w:t>
      </w:r>
      <w:r w:rsidRPr="004C6647">
        <w:rPr>
          <w:rFonts w:ascii="Cambria" w:eastAsia="Cambria" w:hAnsi="Cambria" w:cs="Cambria"/>
          <w:color w:val="000000"/>
        </w:rPr>
        <w:t>omologar el proceso de difusión en todos los documentos y materiales para los Operativos Bienestar</w:t>
      </w:r>
      <w:r>
        <w:rPr>
          <w:rFonts w:ascii="Cambria" w:eastAsia="Cambria" w:hAnsi="Cambria" w:cs="Cambria"/>
          <w:color w:val="000000"/>
        </w:rPr>
        <w:t>; a</w:t>
      </w:r>
      <w:r w:rsidRPr="004C6647">
        <w:rPr>
          <w:rFonts w:ascii="Cambria" w:eastAsia="Cambria" w:hAnsi="Cambria" w:cs="Cambria"/>
          <w:color w:val="000000"/>
        </w:rPr>
        <w:t>segurar que la difusión por medios masivos especifique los criterios de priorización, focalización y la definición de discapacidad permanente que considera el Programa</w:t>
      </w:r>
      <w:r>
        <w:rPr>
          <w:rFonts w:ascii="Cambria" w:eastAsia="Cambria" w:hAnsi="Cambria" w:cs="Cambria"/>
          <w:color w:val="000000"/>
        </w:rPr>
        <w:t>; u</w:t>
      </w:r>
      <w:r w:rsidRPr="004C6647">
        <w:rPr>
          <w:rFonts w:ascii="Cambria" w:eastAsia="Cambria" w:hAnsi="Cambria" w:cs="Cambria"/>
          <w:color w:val="000000"/>
        </w:rPr>
        <w:t>tilizar la información que se recolecta sobre las personas con discapacidad que hacen una solicitud al Programa para entender mejor el tipo de discapacidad que tienen (por ejemplo, la que se deriva del certificado de discapacidad) y de determinar qué información adicional se debe recolectar sobre las personas con discapacidad para mejorar los apoyos que se entregan</w:t>
      </w:r>
      <w:r>
        <w:rPr>
          <w:rFonts w:ascii="Cambria" w:eastAsia="Cambria" w:hAnsi="Cambria" w:cs="Cambria"/>
          <w:color w:val="000000"/>
        </w:rPr>
        <w:t xml:space="preserve">; </w:t>
      </w:r>
      <w:r w:rsidRPr="004C6647">
        <w:rPr>
          <w:rFonts w:ascii="Cambria" w:eastAsia="Cambria" w:hAnsi="Cambria" w:cs="Cambria"/>
          <w:color w:val="000000"/>
        </w:rPr>
        <w:t>incorporar al SIFUB el estatus de la solicitud, así como las razones por las que una persona fue rechaza</w:t>
      </w:r>
      <w:r w:rsidR="004C0F38">
        <w:rPr>
          <w:rFonts w:ascii="Cambria" w:eastAsia="Cambria" w:hAnsi="Cambria" w:cs="Cambria"/>
          <w:color w:val="000000"/>
        </w:rPr>
        <w:t xml:space="preserve">da; </w:t>
      </w:r>
      <w:r w:rsidR="004C0F38" w:rsidRPr="004C0F38">
        <w:rPr>
          <w:rFonts w:ascii="Cambria" w:eastAsia="Cambria" w:hAnsi="Cambria" w:cs="Cambria"/>
          <w:color w:val="000000"/>
        </w:rPr>
        <w:t>habilitar un listado o portafolio nacional que concentre los centros de rehabilitación especializados donde se otorguen tratamientos y atiendan las diferentes discapacidades</w:t>
      </w:r>
      <w:r w:rsidR="004C0F38">
        <w:rPr>
          <w:rFonts w:ascii="Cambria" w:eastAsia="Cambria" w:hAnsi="Cambria" w:cs="Cambria"/>
          <w:color w:val="000000"/>
        </w:rPr>
        <w:t>.</w:t>
      </w:r>
    </w:p>
    <w:p w14:paraId="551D47A7" w14:textId="77777777" w:rsidR="00614444" w:rsidRDefault="00614444" w:rsidP="00614444">
      <w:pPr>
        <w:pBdr>
          <w:top w:val="nil"/>
          <w:left w:val="nil"/>
          <w:bottom w:val="nil"/>
          <w:right w:val="nil"/>
          <w:between w:val="nil"/>
        </w:pBdr>
        <w:spacing w:after="120" w:line="240" w:lineRule="auto"/>
        <w:jc w:val="both"/>
        <w:rPr>
          <w:rFonts w:ascii="Cambria" w:eastAsia="Cambria" w:hAnsi="Cambria" w:cs="Cambria"/>
          <w:b/>
          <w:color w:val="000000"/>
        </w:rPr>
      </w:pPr>
      <w:r>
        <w:rPr>
          <w:rFonts w:ascii="Cambria" w:eastAsia="Cambria" w:hAnsi="Cambria" w:cs="Cambria"/>
          <w:b/>
          <w:color w:val="000000"/>
        </w:rPr>
        <w:t xml:space="preserve">Recomendaciones para el proceso de programación y presupuestación </w:t>
      </w:r>
    </w:p>
    <w:p w14:paraId="4D2F77BA" w14:textId="5131326C" w:rsidR="001524E7" w:rsidRPr="001524E7" w:rsidRDefault="001524E7" w:rsidP="001524E7">
      <w:pPr>
        <w:pBdr>
          <w:top w:val="nil"/>
          <w:left w:val="nil"/>
          <w:bottom w:val="nil"/>
          <w:right w:val="nil"/>
          <w:between w:val="nil"/>
        </w:pBdr>
        <w:spacing w:after="120" w:line="240" w:lineRule="auto"/>
        <w:jc w:val="both"/>
        <w:rPr>
          <w:rFonts w:ascii="Cambria" w:eastAsia="Cambria" w:hAnsi="Cambria" w:cs="Cambria"/>
          <w:color w:val="000000"/>
        </w:rPr>
      </w:pPr>
      <w:r w:rsidRPr="001524E7">
        <w:rPr>
          <w:rFonts w:ascii="Cambria" w:eastAsia="Cambria" w:hAnsi="Cambria" w:cs="Cambria"/>
          <w:color w:val="000000"/>
        </w:rPr>
        <w:t>Definir una estrategia hacia la universalidad de la garantía de una pensión no contributiva para personas con discapacidad permanente como un elemento del derecho a la seguridad social.</w:t>
      </w:r>
    </w:p>
    <w:p w14:paraId="03A9B376" w14:textId="67682895" w:rsidR="00614444" w:rsidRDefault="001524E7" w:rsidP="001524E7">
      <w:pPr>
        <w:pBdr>
          <w:top w:val="nil"/>
          <w:left w:val="nil"/>
          <w:bottom w:val="nil"/>
          <w:right w:val="nil"/>
          <w:between w:val="nil"/>
        </w:pBdr>
        <w:spacing w:after="120" w:line="240" w:lineRule="auto"/>
        <w:jc w:val="both"/>
        <w:rPr>
          <w:rFonts w:ascii="Cambria" w:eastAsia="Cambria" w:hAnsi="Cambria" w:cs="Cambria"/>
          <w:i/>
          <w:color w:val="000000"/>
        </w:rPr>
      </w:pPr>
      <w:r w:rsidRPr="001524E7">
        <w:rPr>
          <w:rFonts w:ascii="Cambria" w:eastAsia="Cambria" w:hAnsi="Cambria" w:cs="Cambria"/>
          <w:color w:val="000000"/>
        </w:rPr>
        <w:t xml:space="preserve">El logro de la cobertura universal de una pensión no contributiva para las personas con discapacidad permanente caracterizada por una certidumbre jurídica y </w:t>
      </w:r>
      <w:proofErr w:type="gramStart"/>
      <w:r w:rsidRPr="001524E7">
        <w:rPr>
          <w:rFonts w:ascii="Cambria" w:eastAsia="Cambria" w:hAnsi="Cambria" w:cs="Cambria"/>
          <w:color w:val="000000"/>
        </w:rPr>
        <w:t>financiera,</w:t>
      </w:r>
      <w:proofErr w:type="gramEnd"/>
      <w:r w:rsidRPr="001524E7">
        <w:rPr>
          <w:rFonts w:ascii="Cambria" w:eastAsia="Cambria" w:hAnsi="Cambria" w:cs="Cambria"/>
          <w:color w:val="000000"/>
        </w:rPr>
        <w:t xml:space="preserve"> tiene una viabilidad baja en su implementación si se considera que requiere de la intervención directa no solo de los gobiernos estatales sino también de los congresos locales. Sin embargo, el principal efecto potencial de esta recomendación radica en logar la inclusión de la totalidad de la población objetivo del Programa que tiene una discapacidad permanente al ejercicio de su derecho a una pensión no contributiva en el marco del derecho a la seguridad social.</w:t>
      </w:r>
    </w:p>
    <w:p w14:paraId="2C455B77" w14:textId="77777777" w:rsidR="00614444" w:rsidRDefault="00614444" w:rsidP="00614444">
      <w:pPr>
        <w:pBdr>
          <w:top w:val="nil"/>
          <w:left w:val="nil"/>
          <w:bottom w:val="nil"/>
          <w:right w:val="nil"/>
          <w:between w:val="nil"/>
        </w:pBdr>
        <w:shd w:val="clear" w:color="auto" w:fill="D9D9D9"/>
        <w:spacing w:after="120" w:line="240" w:lineRule="auto"/>
        <w:jc w:val="both"/>
        <w:rPr>
          <w:rFonts w:ascii="Cambria" w:eastAsia="Cambria" w:hAnsi="Cambria" w:cs="Cambria"/>
          <w:b/>
          <w:i/>
          <w:color w:val="000000"/>
          <w:sz w:val="20"/>
          <w:szCs w:val="20"/>
        </w:rPr>
      </w:pPr>
      <w:r>
        <w:rPr>
          <w:rFonts w:ascii="Cambria" w:eastAsia="Cambria" w:hAnsi="Cambria" w:cs="Cambria"/>
          <w:b/>
          <w:i/>
          <w:color w:val="000000"/>
        </w:rPr>
        <w:t>Notas:</w:t>
      </w:r>
    </w:p>
    <w:p w14:paraId="7BD2A291" w14:textId="77777777" w:rsidR="00614444" w:rsidRDefault="00614444" w:rsidP="00614444">
      <w:pPr>
        <w:numPr>
          <w:ilvl w:val="0"/>
          <w:numId w:val="1"/>
        </w:numPr>
        <w:pBdr>
          <w:top w:val="nil"/>
          <w:left w:val="nil"/>
          <w:bottom w:val="nil"/>
          <w:right w:val="nil"/>
          <w:between w:val="nil"/>
        </w:pBdr>
        <w:shd w:val="clear" w:color="auto" w:fill="D9D9D9"/>
        <w:spacing w:after="120" w:line="240" w:lineRule="auto"/>
        <w:ind w:left="426" w:hanging="425"/>
        <w:jc w:val="both"/>
        <w:rPr>
          <w:i/>
          <w:color w:val="000000"/>
          <w:sz w:val="20"/>
          <w:szCs w:val="20"/>
        </w:rPr>
      </w:pPr>
      <w:r>
        <w:rPr>
          <w:rFonts w:ascii="Cambria" w:eastAsia="Cambria" w:hAnsi="Cambria" w:cs="Cambria"/>
          <w:i/>
          <w:color w:val="000000"/>
          <w:sz w:val="20"/>
          <w:szCs w:val="20"/>
        </w:rPr>
        <w:t xml:space="preserve">El FARE deberá ser enviado a la UED y al Consejo, de conformidad con lo establecido en los numerales </w:t>
      </w:r>
      <w:r w:rsidRPr="00F41741">
        <w:rPr>
          <w:rFonts w:ascii="Cambria" w:hAnsi="Cambria"/>
          <w:i/>
          <w:color w:val="000000"/>
          <w:sz w:val="20"/>
        </w:rPr>
        <w:t>34 y 3</w:t>
      </w:r>
      <w:r w:rsidRPr="003F32CC">
        <w:rPr>
          <w:rFonts w:ascii="Cambria" w:hAnsi="Cambria"/>
          <w:i/>
          <w:color w:val="000000"/>
          <w:sz w:val="20"/>
        </w:rPr>
        <w:t>5</w:t>
      </w:r>
      <w:r>
        <w:rPr>
          <w:rFonts w:ascii="Cambria" w:eastAsia="Cambria" w:hAnsi="Cambria" w:cs="Cambria"/>
          <w:i/>
          <w:color w:val="000000"/>
          <w:sz w:val="20"/>
          <w:szCs w:val="20"/>
        </w:rPr>
        <w:t xml:space="preserve"> de este PAE, junto con el informe final de la evaluación.</w:t>
      </w:r>
    </w:p>
    <w:p w14:paraId="5AB399AC" w14:textId="77777777" w:rsidR="00614444" w:rsidRDefault="00614444" w:rsidP="00614444">
      <w:pPr>
        <w:numPr>
          <w:ilvl w:val="0"/>
          <w:numId w:val="1"/>
        </w:numPr>
        <w:pBdr>
          <w:top w:val="nil"/>
          <w:left w:val="nil"/>
          <w:bottom w:val="nil"/>
          <w:right w:val="nil"/>
          <w:between w:val="nil"/>
        </w:pBdr>
        <w:shd w:val="clear" w:color="auto" w:fill="D9D9D9"/>
        <w:spacing w:after="120" w:line="240" w:lineRule="auto"/>
        <w:ind w:left="426" w:hanging="425"/>
        <w:jc w:val="both"/>
        <w:rPr>
          <w:i/>
          <w:color w:val="000000"/>
          <w:sz w:val="20"/>
          <w:szCs w:val="20"/>
        </w:rPr>
      </w:pPr>
      <w:r>
        <w:rPr>
          <w:rFonts w:ascii="Cambria" w:eastAsia="Cambria" w:hAnsi="Cambria" w:cs="Cambria"/>
          <w:i/>
          <w:color w:val="000000"/>
          <w:sz w:val="20"/>
          <w:szCs w:val="20"/>
        </w:rPr>
        <w:t xml:space="preserve">El FARE contiene la información señalada en el numeral Vigésimo Octavo de los Lineamientos Generales para la Evaluación de los Programas Federales de la Administración Pública Federal, con excepción de los incisos V, VI y VII. </w:t>
      </w:r>
    </w:p>
    <w:p w14:paraId="371B4536" w14:textId="77777777" w:rsidR="00614444" w:rsidRDefault="00614444" w:rsidP="00614444">
      <w:pPr>
        <w:numPr>
          <w:ilvl w:val="0"/>
          <w:numId w:val="1"/>
        </w:numPr>
        <w:pBdr>
          <w:top w:val="nil"/>
          <w:left w:val="nil"/>
          <w:bottom w:val="nil"/>
          <w:right w:val="nil"/>
          <w:between w:val="nil"/>
        </w:pBdr>
        <w:shd w:val="clear" w:color="auto" w:fill="D9D9D9"/>
        <w:spacing w:after="120" w:line="240" w:lineRule="auto"/>
        <w:ind w:left="426" w:hanging="425"/>
        <w:jc w:val="both"/>
        <w:rPr>
          <w:i/>
          <w:color w:val="000000"/>
          <w:sz w:val="20"/>
          <w:szCs w:val="20"/>
        </w:rPr>
      </w:pPr>
      <w:r>
        <w:rPr>
          <w:rFonts w:ascii="Cambria" w:eastAsia="Cambria" w:hAnsi="Cambria" w:cs="Cambria"/>
          <w:i/>
          <w:color w:val="000000"/>
          <w:sz w:val="20"/>
          <w:szCs w:val="20"/>
        </w:rPr>
        <w:t xml:space="preserve"> El FARE constituye el principal insumo para integrar el informe trimestral al que hace referencia el artículo 107, fracción I, de la Ley Federal de Presupuesto y Responsabilidad Hacendaria (LFPRH).  </w:t>
      </w:r>
    </w:p>
    <w:p w14:paraId="55A48B96" w14:textId="41BAB61F" w:rsidR="00614444" w:rsidRPr="001524E7" w:rsidRDefault="00614444" w:rsidP="001524E7">
      <w:pPr>
        <w:numPr>
          <w:ilvl w:val="0"/>
          <w:numId w:val="1"/>
        </w:numPr>
        <w:pBdr>
          <w:top w:val="nil"/>
          <w:left w:val="nil"/>
          <w:bottom w:val="nil"/>
          <w:right w:val="nil"/>
          <w:between w:val="nil"/>
        </w:pBdr>
        <w:shd w:val="clear" w:color="auto" w:fill="D9D9D9"/>
        <w:spacing w:after="120" w:line="240" w:lineRule="auto"/>
        <w:ind w:left="426" w:hanging="425"/>
        <w:jc w:val="both"/>
        <w:rPr>
          <w:i/>
          <w:color w:val="000000"/>
          <w:sz w:val="20"/>
          <w:szCs w:val="20"/>
        </w:rPr>
      </w:pPr>
      <w:r w:rsidRPr="001524E7">
        <w:rPr>
          <w:rFonts w:ascii="Cambria" w:eastAsia="Cambria" w:hAnsi="Cambria" w:cs="Cambria"/>
          <w:i/>
          <w:color w:val="000000"/>
          <w:sz w:val="20"/>
          <w:szCs w:val="20"/>
        </w:rPr>
        <w:t>El FARE constituye uno de los principales insumos para la integración del repositorio de evaluaciones que señala el artículo 303 Bis del Reglamento de la LFPRH.</w:t>
      </w:r>
    </w:p>
    <w:sectPr w:rsidR="00614444" w:rsidRPr="001524E7">
      <w:head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68FA4" w14:textId="77777777" w:rsidR="00716587" w:rsidRDefault="00716587" w:rsidP="00CF49B9">
      <w:pPr>
        <w:spacing w:after="0" w:line="240" w:lineRule="auto"/>
      </w:pPr>
      <w:r>
        <w:separator/>
      </w:r>
    </w:p>
  </w:endnote>
  <w:endnote w:type="continuationSeparator" w:id="0">
    <w:p w14:paraId="50ACF074" w14:textId="77777777" w:rsidR="00716587" w:rsidRDefault="00716587" w:rsidP="00CF49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oberana Sans">
    <w:altName w:val="Calibri"/>
    <w:panose1 w:val="00000000000000000000"/>
    <w:charset w:val="00"/>
    <w:family w:val="modern"/>
    <w:notTrueType/>
    <w:pitch w:val="variable"/>
    <w:sig w:usb0="800000AF" w:usb1="4000204B"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2E355" w14:textId="77777777" w:rsidR="00716587" w:rsidRDefault="00716587" w:rsidP="00CF49B9">
      <w:pPr>
        <w:spacing w:after="0" w:line="240" w:lineRule="auto"/>
      </w:pPr>
      <w:r>
        <w:separator/>
      </w:r>
    </w:p>
  </w:footnote>
  <w:footnote w:type="continuationSeparator" w:id="0">
    <w:p w14:paraId="17E3BF42" w14:textId="77777777" w:rsidR="00716587" w:rsidRDefault="00716587" w:rsidP="00CF49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259FA1" w14:textId="0B87D5DC" w:rsidR="00CF49B9" w:rsidRDefault="00CF49B9">
    <w:pPr>
      <w:pStyle w:val="Encabezado"/>
    </w:pPr>
    <w:r>
      <w:rPr>
        <w:noProof/>
      </w:rPr>
      <w:drawing>
        <wp:anchor distT="0" distB="0" distL="114300" distR="114300" simplePos="0" relativeHeight="251660288" behindDoc="0" locked="0" layoutInCell="1" hidden="0" allowOverlap="1" wp14:anchorId="25677BA9" wp14:editId="5B563B80">
          <wp:simplePos x="0" y="0"/>
          <wp:positionH relativeFrom="column">
            <wp:posOffset>4453255</wp:posOffset>
          </wp:positionH>
          <wp:positionV relativeFrom="paragraph">
            <wp:posOffset>-53018</wp:posOffset>
          </wp:positionV>
          <wp:extent cx="1168400" cy="444500"/>
          <wp:effectExtent l="0" t="0" r="0" b="0"/>
          <wp:wrapNone/>
          <wp:docPr id="31" name="image2.png" descr="Imagen que contiene Texto&#10;&#10;Descripción generada automáticamente"/>
          <wp:cNvGraphicFramePr/>
          <a:graphic xmlns:a="http://schemas.openxmlformats.org/drawingml/2006/main">
            <a:graphicData uri="http://schemas.openxmlformats.org/drawingml/2006/picture">
              <pic:pic xmlns:pic="http://schemas.openxmlformats.org/drawingml/2006/picture">
                <pic:nvPicPr>
                  <pic:cNvPr id="31" name="image2.png" descr="Imagen que contiene Texto&#10;&#10;Descripción generada automáticamente"/>
                  <pic:cNvPicPr preferRelativeResize="0"/>
                </pic:nvPicPr>
                <pic:blipFill>
                  <a:blip r:embed="rId1"/>
                  <a:srcRect/>
                  <a:stretch>
                    <a:fillRect/>
                  </a:stretch>
                </pic:blipFill>
                <pic:spPr>
                  <a:xfrm>
                    <a:off x="0" y="0"/>
                    <a:ext cx="1168400" cy="444500"/>
                  </a:xfrm>
                  <a:prstGeom prst="rect">
                    <a:avLst/>
                  </a:prstGeom>
                  <a:ln/>
                </pic:spPr>
              </pic:pic>
            </a:graphicData>
          </a:graphic>
        </wp:anchor>
      </w:drawing>
    </w:r>
    <w:r>
      <w:rPr>
        <w:noProof/>
        <w:color w:val="000000"/>
      </w:rPr>
      <w:drawing>
        <wp:anchor distT="0" distB="0" distL="114300" distR="114300" simplePos="0" relativeHeight="251658240" behindDoc="1" locked="0" layoutInCell="1" allowOverlap="1" wp14:anchorId="1A44E853" wp14:editId="1C52C1C3">
          <wp:simplePos x="0" y="0"/>
          <wp:positionH relativeFrom="column">
            <wp:posOffset>3175</wp:posOffset>
          </wp:positionH>
          <wp:positionV relativeFrom="paragraph">
            <wp:posOffset>-23078</wp:posOffset>
          </wp:positionV>
          <wp:extent cx="2304415" cy="494030"/>
          <wp:effectExtent l="0" t="0" r="635" b="1270"/>
          <wp:wrapTight wrapText="bothSides">
            <wp:wrapPolygon edited="0">
              <wp:start x="1071" y="0"/>
              <wp:lineTo x="0" y="3332"/>
              <wp:lineTo x="0" y="19990"/>
              <wp:lineTo x="1428" y="20823"/>
              <wp:lineTo x="3214" y="20823"/>
              <wp:lineTo x="21427" y="18324"/>
              <wp:lineTo x="21427" y="14159"/>
              <wp:lineTo x="20713" y="13326"/>
              <wp:lineTo x="20713" y="2499"/>
              <wp:lineTo x="3036" y="0"/>
              <wp:lineTo x="1071" y="0"/>
            </wp:wrapPolygon>
          </wp:wrapTight>
          <wp:docPr id="32" name="Imagen 32"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n 32" descr="Imagen que contiene Texto&#10;&#10;Descripción generada automá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04415" cy="49403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5641F6"/>
    <w:multiLevelType w:val="multilevel"/>
    <w:tmpl w:val="67D23DE2"/>
    <w:lvl w:ilvl="0">
      <w:start w:val="1"/>
      <w:numFmt w:val="bullet"/>
      <w:lvlText w:val="•"/>
      <w:lvlJc w:val="left"/>
      <w:pPr>
        <w:ind w:left="1413" w:hanging="704"/>
      </w:pPr>
      <w:rPr>
        <w:rFonts w:ascii="Cambria" w:eastAsia="Cambria" w:hAnsi="Cambria" w:cs="Cambria"/>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7917045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49B9"/>
    <w:rsid w:val="001524E7"/>
    <w:rsid w:val="003E1454"/>
    <w:rsid w:val="003F2EAB"/>
    <w:rsid w:val="004C0F38"/>
    <w:rsid w:val="004C6647"/>
    <w:rsid w:val="005D623F"/>
    <w:rsid w:val="005E0E62"/>
    <w:rsid w:val="00614444"/>
    <w:rsid w:val="00716587"/>
    <w:rsid w:val="00786C38"/>
    <w:rsid w:val="007A6CA0"/>
    <w:rsid w:val="00801AA9"/>
    <w:rsid w:val="00974A9B"/>
    <w:rsid w:val="009F2133"/>
    <w:rsid w:val="00CF49B9"/>
    <w:rsid w:val="00E56094"/>
    <w:rsid w:val="00F4632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BBA93"/>
  <w15:chartTrackingRefBased/>
  <w15:docId w15:val="{EBCB0C9D-83AA-4872-A96E-B5756B19C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F49B9"/>
    <w:pPr>
      <w:spacing w:after="200" w:line="276" w:lineRule="auto"/>
    </w:pPr>
    <w:rPr>
      <w:rFonts w:ascii="Calibri" w:eastAsia="Calibri" w:hAnsi="Calibri" w:cs="Calibri"/>
      <w:lang w:eastAsia="es-MX"/>
    </w:rPr>
  </w:style>
  <w:style w:type="paragraph" w:styleId="Ttulo2">
    <w:name w:val="heading 2"/>
    <w:basedOn w:val="Normal"/>
    <w:next w:val="Normal"/>
    <w:link w:val="Ttulo2Car"/>
    <w:rsid w:val="00CF49B9"/>
    <w:pPr>
      <w:keepNext/>
      <w:keepLines/>
      <w:spacing w:before="40" w:after="0"/>
      <w:jc w:val="center"/>
      <w:outlineLvl w:val="1"/>
    </w:pPr>
    <w:rPr>
      <w:rFonts w:ascii="Cambria" w:eastAsia="Cambria" w:hAnsi="Cambria" w:cs="Cambria"/>
      <w:b/>
      <w:i/>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CF49B9"/>
    <w:rPr>
      <w:rFonts w:ascii="Cambria" w:eastAsia="Cambria" w:hAnsi="Cambria" w:cs="Cambria"/>
      <w:b/>
      <w:i/>
      <w:lang w:eastAsia="es-MX"/>
    </w:rPr>
  </w:style>
  <w:style w:type="table" w:customStyle="1" w:styleId="1">
    <w:name w:val="1"/>
    <w:basedOn w:val="Tablanormal"/>
    <w:rsid w:val="00CF49B9"/>
    <w:pPr>
      <w:spacing w:after="200" w:line="276" w:lineRule="auto"/>
    </w:pPr>
    <w:rPr>
      <w:rFonts w:ascii="Calibri" w:eastAsia="Calibri" w:hAnsi="Calibri" w:cs="Calibri"/>
      <w:lang w:eastAsia="es-MX"/>
    </w:rPr>
    <w:tblPr>
      <w:tblStyleRowBandSize w:val="1"/>
      <w:tblStyleColBandSize w:val="1"/>
      <w:tblInd w:w="0" w:type="nil"/>
      <w:tblCellMar>
        <w:left w:w="115" w:type="dxa"/>
        <w:right w:w="115" w:type="dxa"/>
      </w:tblCellMar>
    </w:tblPr>
  </w:style>
  <w:style w:type="paragraph" w:styleId="Encabezado">
    <w:name w:val="header"/>
    <w:basedOn w:val="Normal"/>
    <w:link w:val="EncabezadoCar"/>
    <w:uiPriority w:val="99"/>
    <w:unhideWhenUsed/>
    <w:rsid w:val="00CF49B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F49B9"/>
    <w:rPr>
      <w:rFonts w:ascii="Calibri" w:eastAsia="Calibri" w:hAnsi="Calibri" w:cs="Calibri"/>
      <w:lang w:eastAsia="es-MX"/>
    </w:rPr>
  </w:style>
  <w:style w:type="paragraph" w:styleId="Piedepgina">
    <w:name w:val="footer"/>
    <w:basedOn w:val="Normal"/>
    <w:link w:val="PiedepginaCar"/>
    <w:uiPriority w:val="99"/>
    <w:unhideWhenUsed/>
    <w:rsid w:val="00CF49B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F49B9"/>
    <w:rPr>
      <w:rFonts w:ascii="Calibri" w:eastAsia="Calibri" w:hAnsi="Calibri" w:cs="Calibri"/>
      <w:lang w:eastAsia="es-MX"/>
    </w:rPr>
  </w:style>
  <w:style w:type="paragraph" w:styleId="Sinespaciado">
    <w:name w:val="No Spacing"/>
    <w:uiPriority w:val="1"/>
    <w:qFormat/>
    <w:rsid w:val="00F4632A"/>
    <w:pPr>
      <w:spacing w:after="0" w:line="240" w:lineRule="auto"/>
    </w:pPr>
    <w:rPr>
      <w:rFonts w:ascii="Calibri" w:eastAsia="Calibri" w:hAnsi="Calibri" w:cs="Calibri"/>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964</Words>
  <Characters>5302</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Evelyn J.V.</dc:creator>
  <cp:keywords/>
  <dc:description/>
  <cp:lastModifiedBy>Matilde Elizabeth Aguilar Martinez</cp:lastModifiedBy>
  <cp:revision>2</cp:revision>
  <dcterms:created xsi:type="dcterms:W3CDTF">2022-10-13T19:27:00Z</dcterms:created>
  <dcterms:modified xsi:type="dcterms:W3CDTF">2022-10-13T19:27:00Z</dcterms:modified>
</cp:coreProperties>
</file>